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AB" w:rsidRDefault="00D45DD2" w:rsidP="00DB11EF">
      <w:pPr>
        <w:pStyle w:val="BodyText1"/>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5268172</wp:posOffset>
                </wp:positionH>
                <wp:positionV relativeFrom="paragraph">
                  <wp:posOffset>-702733</wp:posOffset>
                </wp:positionV>
                <wp:extent cx="1044575" cy="474133"/>
                <wp:effectExtent l="0" t="0" r="3175" b="25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74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1B9" w:rsidRPr="00137C63" w:rsidRDefault="007F01B9">
                            <w:pPr>
                              <w:rPr>
                                <w:b/>
                              </w:rPr>
                            </w:pPr>
                            <w:r w:rsidRPr="00137C63">
                              <w:rPr>
                                <w:b/>
                              </w:rPr>
                              <w:t>Appendix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4.8pt;margin-top:-55.35pt;width:82.25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" stroked="f">
                <v:textbox>
                  <w:txbxContent>
                    <w:p w:rsidR="007F01B9" w:rsidRPr="00137C63" w:rsidRDefault="007F01B9">
                      <w:pPr>
                        <w:rPr>
                          <w:b/>
                        </w:rPr>
                      </w:pPr>
                      <w:r w:rsidRPr="00137C63">
                        <w:rPr>
                          <w:b/>
                        </w:rPr>
                        <w:t>Appendix 'D'</w:t>
                      </w:r>
                    </w:p>
                  </w:txbxContent>
                </v:textbox>
              </v:shape>
            </w:pict>
          </mc:Fallback>
        </mc:AlternateContent>
      </w:r>
    </w:p>
    <w:p w:rsidR="000701AB" w:rsidRDefault="000701AB" w:rsidP="00DB11EF">
      <w:pPr>
        <w:pStyle w:val="BodyText1"/>
      </w:pPr>
      <w:bookmarkStart w:id="0" w:name="_GoBack"/>
      <w:bookmarkEnd w:id="0"/>
    </w:p>
    <w:p w:rsidR="000701AB" w:rsidRDefault="000701AB" w:rsidP="00DB11EF">
      <w:pPr>
        <w:pStyle w:val="BodyText1"/>
      </w:pPr>
    </w:p>
    <w:p w:rsidR="009C760E" w:rsidRDefault="009C760E" w:rsidP="00DB11EF">
      <w:pPr>
        <w:pStyle w:val="BodyText1"/>
      </w:pPr>
    </w:p>
    <w:p w:rsidR="009C760E" w:rsidRDefault="009C760E" w:rsidP="00DB11EF">
      <w:pPr>
        <w:pStyle w:val="BodyText1"/>
      </w:pPr>
    </w:p>
    <w:p w:rsidR="009C760E" w:rsidRPr="000A1248" w:rsidRDefault="009C760E" w:rsidP="00DB11EF">
      <w:pPr>
        <w:pStyle w:val="BodyText1"/>
      </w:pPr>
    </w:p>
    <w:p w:rsidR="000701AB" w:rsidRDefault="000701AB" w:rsidP="00DB11EF">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E7619" w:rsidRDefault="009E7619" w:rsidP="009C760E">
      <w:pPr>
        <w:pStyle w:val="BodyText1"/>
      </w:pPr>
    </w:p>
    <w:p w:rsidR="009E7619" w:rsidRDefault="009E7619" w:rsidP="009C760E">
      <w:pPr>
        <w:pStyle w:val="BodyText1"/>
      </w:pPr>
    </w:p>
    <w:p w:rsidR="000701AB" w:rsidRPr="00DB11EF" w:rsidRDefault="00D45DD2" w:rsidP="00691147">
      <w:pPr>
        <w:pStyle w:val="Heading1"/>
        <w:numPr>
          <w:ilvl w:val="0"/>
          <w:numId w:val="0"/>
        </w:num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-439420</wp:posOffset>
                </wp:positionH>
                <wp:positionV relativeFrom="paragraph">
                  <wp:posOffset>1503680</wp:posOffset>
                </wp:positionV>
                <wp:extent cx="5805805" cy="2551430"/>
                <wp:effectExtent l="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55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D86" w:rsidRDefault="00760D86" w:rsidP="00533982">
                            <w:pPr>
                              <w:pStyle w:val="Title"/>
                            </w:pPr>
                            <w:r>
                              <w:t xml:space="preserve">Living in Lancashire Survey </w:t>
                            </w:r>
                          </w:p>
                          <w:p w:rsidR="00760D86" w:rsidRPr="00FD68E7" w:rsidRDefault="00760D86" w:rsidP="00EF0B11">
                            <w:pPr>
                              <w:pStyle w:val="BodyText1"/>
                              <w:rPr>
                                <w:rFonts w:ascii="Corbel" w:hAnsi="Corbel"/>
                                <w:b/>
                                <w:color w:val="C00000"/>
                                <w:sz w:val="44"/>
                                <w:szCs w:val="44"/>
                              </w:rPr>
                            </w:pPr>
                            <w:bookmarkStart w:id="1" w:name="_Toc311022404"/>
                            <w:r w:rsidRPr="00FD68E7">
                              <w:rPr>
                                <w:rFonts w:ascii="Corbel" w:hAnsi="Corbel"/>
                                <w:b/>
                                <w:color w:val="C00000"/>
                                <w:sz w:val="44"/>
                                <w:szCs w:val="44"/>
                              </w:rPr>
                              <w:t xml:space="preserve">Budget consultation </w:t>
                            </w:r>
                            <w:bookmarkEnd w:id="1"/>
                            <w:r>
                              <w:rPr>
                                <w:rFonts w:ascii="Corbel" w:hAnsi="Corbel"/>
                                <w:b/>
                                <w:color w:val="C00000"/>
                                <w:sz w:val="44"/>
                                <w:szCs w:val="44"/>
                              </w:rPr>
                              <w:t>2013</w:t>
                            </w:r>
                          </w:p>
                          <w:p w:rsidR="00760D86" w:rsidRPr="001E0C81" w:rsidRDefault="00760D86" w:rsidP="00533982">
                            <w:pPr>
                              <w:pStyle w:val="Title"/>
                              <w:rPr>
                                <w:sz w:val="40"/>
                                <w:szCs w:val="40"/>
                              </w:rPr>
                            </w:pPr>
                            <w:r>
                              <w:rPr>
                                <w:sz w:val="40"/>
                                <w:szCs w:val="40"/>
                              </w:rPr>
                              <w:t>December</w:t>
                            </w:r>
                            <w:r w:rsidRPr="001E0C81">
                              <w:rPr>
                                <w:sz w:val="40"/>
                                <w:szCs w:val="40"/>
                              </w:rPr>
                              <w:t xml:space="preserve"> 201</w:t>
                            </w:r>
                            <w:r>
                              <w:rPr>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6pt;margin-top:118.4pt;width:457.15pt;height:20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" filled="f" stroked="f">
                <v:textbox>
                  <w:txbxContent>
                    <w:p w:rsidR="00760D86" w:rsidRDefault="00760D86" w:rsidP="00533982">
                      <w:pPr>
                        <w:pStyle w:val="Title"/>
                      </w:pPr>
                      <w:r>
                        <w:t xml:space="preserve">Living in Lancashire Survey </w:t>
                      </w:r>
                    </w:p>
                    <w:p w:rsidR="00760D86" w:rsidRPr="00FD68E7" w:rsidRDefault="00760D86" w:rsidP="00EF0B11">
                      <w:pPr>
                        <w:pStyle w:val="BodyText1"/>
                        <w:rPr>
                          <w:rFonts w:ascii="Corbel" w:hAnsi="Corbel"/>
                          <w:b/>
                          <w:color w:val="C00000"/>
                          <w:sz w:val="44"/>
                          <w:szCs w:val="44"/>
                        </w:rPr>
                      </w:pPr>
                      <w:bookmarkStart w:id="2" w:name="_Toc311022404"/>
                      <w:r w:rsidRPr="00FD68E7">
                        <w:rPr>
                          <w:rFonts w:ascii="Corbel" w:hAnsi="Corbel"/>
                          <w:b/>
                          <w:color w:val="C00000"/>
                          <w:sz w:val="44"/>
                          <w:szCs w:val="44"/>
                        </w:rPr>
                        <w:t xml:space="preserve">Budget consultation </w:t>
                      </w:r>
                      <w:bookmarkEnd w:id="2"/>
                      <w:r>
                        <w:rPr>
                          <w:rFonts w:ascii="Corbel" w:hAnsi="Corbel"/>
                          <w:b/>
                          <w:color w:val="C00000"/>
                          <w:sz w:val="44"/>
                          <w:szCs w:val="44"/>
                        </w:rPr>
                        <w:t>2013</w:t>
                      </w:r>
                    </w:p>
                    <w:p w:rsidR="00760D86" w:rsidRPr="001E0C81" w:rsidRDefault="00760D86" w:rsidP="00533982">
                      <w:pPr>
                        <w:pStyle w:val="Title"/>
                        <w:rPr>
                          <w:sz w:val="40"/>
                          <w:szCs w:val="40"/>
                        </w:rPr>
                      </w:pPr>
                      <w:r>
                        <w:rPr>
                          <w:sz w:val="40"/>
                          <w:szCs w:val="40"/>
                        </w:rPr>
                        <w:t>December</w:t>
                      </w:r>
                      <w:r w:rsidRPr="001E0C81">
                        <w:rPr>
                          <w:sz w:val="40"/>
                          <w:szCs w:val="40"/>
                        </w:rPr>
                        <w:t xml:space="preserve"> 201</w:t>
                      </w:r>
                      <w:r>
                        <w:rPr>
                          <w:sz w:val="40"/>
                          <w:szCs w:val="40"/>
                        </w:rPr>
                        <w:t>3</w:t>
                      </w:r>
                    </w:p>
                  </w:txbxContent>
                </v:textbox>
              </v:shape>
            </w:pict>
          </mc:Fallback>
        </mc:AlternateContent>
      </w:r>
      <w:r w:rsidR="000701AB" w:rsidRPr="00932C6A">
        <w:br w:type="page"/>
      </w:r>
    </w:p>
    <w:p w:rsidR="000701AB" w:rsidRPr="00DB11EF" w:rsidRDefault="000701AB" w:rsidP="00DB11EF">
      <w:pPr>
        <w:pStyle w:val="BodyText1"/>
      </w:pPr>
    </w:p>
    <w:p w:rsidR="000701AB" w:rsidRPr="00DB11EF" w:rsidRDefault="000701AB" w:rsidP="00DB11EF">
      <w:pPr>
        <w:pStyle w:val="BodyText1"/>
      </w:pPr>
    </w:p>
    <w:p w:rsidR="000701AB" w:rsidRPr="009A49D9" w:rsidRDefault="000701AB" w:rsidP="009A49D9">
      <w:pPr>
        <w:pStyle w:val="BodyText1"/>
      </w:pPr>
    </w:p>
    <w:p w:rsidR="000701AB" w:rsidRPr="009A49D9" w:rsidRDefault="000701AB" w:rsidP="009A49D9">
      <w:pPr>
        <w:pStyle w:val="BodyText1"/>
      </w:pPr>
    </w:p>
    <w:p w:rsidR="000701AB" w:rsidRPr="009A49D9" w:rsidRDefault="00584303" w:rsidP="009A49D9">
      <w:pPr>
        <w:pStyle w:val="BodyText1"/>
        <w:jc w:val="center"/>
        <w:rPr>
          <w:b/>
          <w:szCs w:val="22"/>
        </w:rPr>
      </w:pPr>
      <w:r>
        <w:rPr>
          <w:b/>
          <w:szCs w:val="22"/>
        </w:rPr>
        <w:t>Rebecca Robinson, Heather Walmsley and</w:t>
      </w:r>
      <w:r w:rsidR="00CA1EC9">
        <w:rPr>
          <w:b/>
          <w:szCs w:val="22"/>
        </w:rPr>
        <w:t xml:space="preserve"> </w:t>
      </w:r>
      <w:r w:rsidR="001D1FA4">
        <w:rPr>
          <w:b/>
          <w:szCs w:val="22"/>
        </w:rPr>
        <w:t xml:space="preserve">Mick </w:t>
      </w:r>
      <w:proofErr w:type="spellStart"/>
      <w:r w:rsidR="001D1FA4">
        <w:rPr>
          <w:b/>
          <w:szCs w:val="22"/>
        </w:rPr>
        <w:t>Edwardson</w:t>
      </w:r>
      <w:proofErr w:type="spellEnd"/>
    </w:p>
    <w:p w:rsidR="000701AB" w:rsidRPr="009A49D9" w:rsidRDefault="000701AB" w:rsidP="009A49D9">
      <w:pPr>
        <w:pStyle w:val="BodyText1"/>
        <w:rPr>
          <w:szCs w:val="22"/>
        </w:rPr>
      </w:pPr>
    </w:p>
    <w:p w:rsidR="000701AB" w:rsidRPr="009A49D9" w:rsidRDefault="00584303" w:rsidP="009A49D9">
      <w:pPr>
        <w:pStyle w:val="BodyText1"/>
        <w:jc w:val="center"/>
        <w:rPr>
          <w:b/>
          <w:szCs w:val="22"/>
        </w:rPr>
      </w:pPr>
      <w:r>
        <w:rPr>
          <w:b/>
          <w:szCs w:val="22"/>
        </w:rPr>
        <w:t>January</w:t>
      </w:r>
      <w:r w:rsidR="00A50D0F">
        <w:rPr>
          <w:b/>
          <w:szCs w:val="22"/>
        </w:rPr>
        <w:t xml:space="preserve"> 201</w:t>
      </w:r>
      <w:r>
        <w:rPr>
          <w:b/>
          <w:szCs w:val="22"/>
        </w:rPr>
        <w:t>4</w:t>
      </w:r>
    </w:p>
    <w:p w:rsidR="000701AB" w:rsidRPr="009A49D9" w:rsidRDefault="000701AB" w:rsidP="009A49D9">
      <w:pPr>
        <w:pStyle w:val="BodyText1"/>
      </w:pPr>
    </w:p>
    <w:p w:rsidR="000701AB" w:rsidRDefault="000701AB" w:rsidP="000701AB">
      <w:pPr>
        <w:pStyle w:val="BodyText1"/>
        <w:rPr>
          <w:rFonts w:cs="Arial"/>
          <w:sz w:val="22"/>
          <w:szCs w:val="22"/>
        </w:rPr>
      </w:pPr>
    </w:p>
    <w:p w:rsidR="000701AB" w:rsidRDefault="000701AB" w:rsidP="000701AB">
      <w:pPr>
        <w:pStyle w:val="BodyText1"/>
        <w:rPr>
          <w:rFonts w:cs="Arial"/>
          <w:sz w:val="22"/>
          <w:szCs w:val="22"/>
        </w:rPr>
      </w:pPr>
    </w:p>
    <w:p w:rsidR="000701AB" w:rsidRDefault="000701AB" w:rsidP="000701AB">
      <w:pPr>
        <w:pStyle w:val="BodyText1"/>
      </w:pPr>
    </w:p>
    <w:p w:rsidR="000701AB" w:rsidRDefault="000701AB" w:rsidP="000701AB">
      <w:pPr>
        <w:pStyle w:val="BodyText1"/>
      </w:pPr>
      <w:r>
        <w:t>For further information on the work of</w:t>
      </w:r>
      <w:r w:rsidR="006A7810">
        <w:t xml:space="preserve"> </w:t>
      </w:r>
      <w:r w:rsidR="001D1FA4">
        <w:t>the Corporate Research and Intelligence Team</w:t>
      </w:r>
      <w:r>
        <w:t>, please contact us at:</w:t>
      </w:r>
    </w:p>
    <w:p w:rsidR="000701AB" w:rsidRDefault="001D1FA4" w:rsidP="000701AB">
      <w:pPr>
        <w:pStyle w:val="BodyText1"/>
      </w:pPr>
      <w:r>
        <w:t>Living in Lancashire</w:t>
      </w:r>
    </w:p>
    <w:p w:rsidR="000701AB" w:rsidRDefault="00A50D0F" w:rsidP="000701AB">
      <w:pPr>
        <w:pStyle w:val="BodyText1"/>
      </w:pPr>
      <w:r>
        <w:t>Lancashire County C</w:t>
      </w:r>
      <w:r w:rsidR="001D1FA4">
        <w:t>ouncil</w:t>
      </w:r>
    </w:p>
    <w:p w:rsidR="000701AB" w:rsidRDefault="001D1FA4" w:rsidP="000701AB">
      <w:pPr>
        <w:pStyle w:val="BodyText1"/>
      </w:pPr>
      <w:r>
        <w:t>County Hall</w:t>
      </w:r>
    </w:p>
    <w:p w:rsidR="000701AB" w:rsidRDefault="001D1FA4" w:rsidP="000701AB">
      <w:pPr>
        <w:pStyle w:val="BodyText1"/>
      </w:pPr>
      <w:r>
        <w:t>Preston</w:t>
      </w:r>
    </w:p>
    <w:p w:rsidR="000701AB" w:rsidRDefault="001D1FA4" w:rsidP="000701AB">
      <w:pPr>
        <w:pStyle w:val="BodyText1"/>
      </w:pPr>
      <w:r>
        <w:t>PR1 8XJ</w:t>
      </w:r>
    </w:p>
    <w:p w:rsidR="000701AB" w:rsidRDefault="000701AB" w:rsidP="000701AB">
      <w:pPr>
        <w:pStyle w:val="BodyText1"/>
      </w:pPr>
      <w:r>
        <w:t xml:space="preserve">Tel: </w:t>
      </w:r>
      <w:r w:rsidR="001D1FA4">
        <w:t>0808 1443536</w:t>
      </w:r>
    </w:p>
    <w:p w:rsidR="000701AB" w:rsidRPr="00074A63" w:rsidRDefault="000701AB" w:rsidP="000701AB">
      <w:pPr>
        <w:pStyle w:val="BodyText1"/>
      </w:pPr>
      <w:r>
        <w:t>www.</w:t>
      </w:r>
      <w:r w:rsidR="001D1FA4">
        <w:t>lancashire.gov.uk/profile</w:t>
      </w:r>
    </w:p>
    <w:p w:rsidR="00AE60D0" w:rsidRDefault="00AE60D0">
      <w:pPr>
        <w:spacing w:after="0"/>
        <w:rPr>
          <w:rFonts w:ascii="Corbel" w:eastAsia="Times New Roman" w:hAnsi="Corbel"/>
          <w:b/>
          <w:bCs/>
          <w:color w:val="008000"/>
          <w:sz w:val="40"/>
          <w:szCs w:val="28"/>
        </w:rPr>
      </w:pPr>
      <w:bookmarkStart w:id="2" w:name="_Toc304199307"/>
      <w:bookmarkStart w:id="3" w:name="_Toc311022195"/>
      <w:bookmarkStart w:id="4" w:name="_Toc311022405"/>
      <w:bookmarkStart w:id="5" w:name="_Toc313867730"/>
      <w:bookmarkStart w:id="6" w:name="_Toc341433208"/>
      <w:bookmarkStart w:id="7" w:name="_Toc341438749"/>
      <w:bookmarkStart w:id="8" w:name="_Toc342049115"/>
      <w:bookmarkStart w:id="9" w:name="_Toc342049169"/>
      <w:bookmarkStart w:id="10" w:name="_Toc358123254"/>
      <w:r>
        <w:rPr>
          <w:color w:val="008000"/>
        </w:rPr>
        <w:br w:type="page"/>
      </w:r>
    </w:p>
    <w:p w:rsidR="000701AB" w:rsidRPr="00932C6A" w:rsidRDefault="000701AB" w:rsidP="00691147">
      <w:pPr>
        <w:pStyle w:val="Heading1"/>
        <w:numPr>
          <w:ilvl w:val="0"/>
          <w:numId w:val="0"/>
        </w:numPr>
      </w:pPr>
      <w:bookmarkStart w:id="11" w:name="_Toc377634273"/>
      <w:r w:rsidRPr="00932C6A">
        <w:lastRenderedPageBreak/>
        <w:t>Contents</w:t>
      </w:r>
      <w:bookmarkEnd w:id="2"/>
      <w:bookmarkEnd w:id="3"/>
      <w:bookmarkEnd w:id="4"/>
      <w:bookmarkEnd w:id="5"/>
      <w:bookmarkEnd w:id="6"/>
      <w:bookmarkEnd w:id="7"/>
      <w:bookmarkEnd w:id="8"/>
      <w:bookmarkEnd w:id="9"/>
      <w:bookmarkEnd w:id="10"/>
      <w:bookmarkEnd w:id="11"/>
    </w:p>
    <w:p w:rsidR="00EC464E" w:rsidRDefault="00E242B8">
      <w:pPr>
        <w:pStyle w:val="TOC1"/>
        <w:rPr>
          <w:rFonts w:asciiTheme="minorHAnsi" w:eastAsiaTheme="minorEastAsia" w:hAnsiTheme="minorHAnsi" w:cstheme="minorBidi"/>
          <w:b w:val="0"/>
          <w:bCs w:val="0"/>
          <w:caps w:val="0"/>
          <w:noProof/>
          <w:color w:val="auto"/>
          <w:sz w:val="22"/>
          <w:szCs w:val="22"/>
          <w:lang w:eastAsia="en-GB"/>
        </w:rPr>
      </w:pPr>
      <w:r>
        <w:fldChar w:fldCharType="begin"/>
      </w:r>
      <w:r w:rsidR="00014ABA">
        <w:instrText xml:space="preserve"> TOC \o "1-3" \h \z \u </w:instrText>
      </w:r>
      <w:r>
        <w:fldChar w:fldCharType="separate"/>
      </w:r>
    </w:p>
    <w:p w:rsidR="00EC464E" w:rsidRDefault="00137C63">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377634274" w:history="1">
        <w:r w:rsidR="00EC464E" w:rsidRPr="00126DAF">
          <w:rPr>
            <w:rStyle w:val="Hyperlink"/>
            <w:noProof/>
          </w:rPr>
          <w:t>1.</w:t>
        </w:r>
        <w:r w:rsidR="00EC464E">
          <w:rPr>
            <w:rFonts w:asciiTheme="minorHAnsi" w:eastAsiaTheme="minorEastAsia" w:hAnsiTheme="minorHAnsi" w:cstheme="minorBidi"/>
            <w:b w:val="0"/>
            <w:bCs w:val="0"/>
            <w:caps w:val="0"/>
            <w:noProof/>
            <w:color w:val="auto"/>
            <w:sz w:val="22"/>
            <w:szCs w:val="22"/>
            <w:lang w:eastAsia="en-GB"/>
          </w:rPr>
          <w:tab/>
        </w:r>
        <w:r w:rsidR="00EC464E" w:rsidRPr="00126DAF">
          <w:rPr>
            <w:rStyle w:val="Hyperlink"/>
            <w:noProof/>
          </w:rPr>
          <w:t>Executive summary</w:t>
        </w:r>
        <w:r w:rsidR="00EC464E">
          <w:rPr>
            <w:noProof/>
            <w:webHidden/>
          </w:rPr>
          <w:tab/>
        </w:r>
        <w:r w:rsidR="00E242B8">
          <w:rPr>
            <w:noProof/>
            <w:webHidden/>
          </w:rPr>
          <w:fldChar w:fldCharType="begin"/>
        </w:r>
        <w:r w:rsidR="00EC464E">
          <w:rPr>
            <w:noProof/>
            <w:webHidden/>
          </w:rPr>
          <w:instrText xml:space="preserve"> PAGEREF _Toc377634274 \h </w:instrText>
        </w:r>
        <w:r w:rsidR="00E242B8">
          <w:rPr>
            <w:noProof/>
            <w:webHidden/>
          </w:rPr>
        </w:r>
        <w:r w:rsidR="00E242B8">
          <w:rPr>
            <w:noProof/>
            <w:webHidden/>
          </w:rPr>
          <w:fldChar w:fldCharType="separate"/>
        </w:r>
        <w:r w:rsidR="00EC464E">
          <w:rPr>
            <w:noProof/>
            <w:webHidden/>
          </w:rPr>
          <w:t>1</w:t>
        </w:r>
        <w:r w:rsidR="00E242B8">
          <w:rPr>
            <w:noProof/>
            <w:webHidden/>
          </w:rPr>
          <w:fldChar w:fldCharType="end"/>
        </w:r>
      </w:hyperlink>
    </w:p>
    <w:p w:rsidR="00EC464E" w:rsidRDefault="00137C63">
      <w:pPr>
        <w:pStyle w:val="TOC2"/>
        <w:tabs>
          <w:tab w:val="left" w:pos="1440"/>
        </w:tabs>
        <w:rPr>
          <w:rFonts w:asciiTheme="minorHAnsi" w:eastAsiaTheme="minorEastAsia" w:hAnsiTheme="minorHAnsi" w:cstheme="minorBidi"/>
          <w:noProof/>
          <w:color w:val="auto"/>
          <w:sz w:val="22"/>
          <w:szCs w:val="22"/>
          <w:lang w:eastAsia="en-GB"/>
        </w:rPr>
      </w:pPr>
      <w:hyperlink w:anchor="_Toc377634275" w:history="1">
        <w:r w:rsidR="00EC464E" w:rsidRPr="00126DAF">
          <w:rPr>
            <w:rStyle w:val="Hyperlink"/>
            <w:noProof/>
          </w:rPr>
          <w:t>1.1.</w:t>
        </w:r>
        <w:r w:rsidR="00EC464E">
          <w:rPr>
            <w:rFonts w:asciiTheme="minorHAnsi" w:eastAsiaTheme="minorEastAsia" w:hAnsiTheme="minorHAnsi" w:cstheme="minorBidi"/>
            <w:noProof/>
            <w:color w:val="auto"/>
            <w:sz w:val="22"/>
            <w:szCs w:val="22"/>
            <w:lang w:eastAsia="en-GB"/>
          </w:rPr>
          <w:tab/>
        </w:r>
        <w:r w:rsidR="00EC464E" w:rsidRPr="00126DAF">
          <w:rPr>
            <w:rStyle w:val="Hyperlink"/>
            <w:noProof/>
          </w:rPr>
          <w:t>Key findings</w:t>
        </w:r>
        <w:r w:rsidR="00EC464E">
          <w:rPr>
            <w:noProof/>
            <w:webHidden/>
          </w:rPr>
          <w:tab/>
        </w:r>
        <w:r w:rsidR="00E242B8">
          <w:rPr>
            <w:noProof/>
            <w:webHidden/>
          </w:rPr>
          <w:fldChar w:fldCharType="begin"/>
        </w:r>
        <w:r w:rsidR="00EC464E">
          <w:rPr>
            <w:noProof/>
            <w:webHidden/>
          </w:rPr>
          <w:instrText xml:space="preserve"> PAGEREF _Toc377634275 \h </w:instrText>
        </w:r>
        <w:r w:rsidR="00E242B8">
          <w:rPr>
            <w:noProof/>
            <w:webHidden/>
          </w:rPr>
        </w:r>
        <w:r w:rsidR="00E242B8">
          <w:rPr>
            <w:noProof/>
            <w:webHidden/>
          </w:rPr>
          <w:fldChar w:fldCharType="separate"/>
        </w:r>
        <w:r w:rsidR="00EC464E">
          <w:rPr>
            <w:noProof/>
            <w:webHidden/>
          </w:rPr>
          <w:t>1</w:t>
        </w:r>
        <w:r w:rsidR="00E242B8">
          <w:rPr>
            <w:noProof/>
            <w:webHidden/>
          </w:rPr>
          <w:fldChar w:fldCharType="end"/>
        </w:r>
      </w:hyperlink>
    </w:p>
    <w:p w:rsidR="00EC464E" w:rsidRDefault="00137C63">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377634277" w:history="1">
        <w:r w:rsidR="00EC464E" w:rsidRPr="00126DAF">
          <w:rPr>
            <w:rStyle w:val="Hyperlink"/>
            <w:noProof/>
          </w:rPr>
          <w:t>2.</w:t>
        </w:r>
        <w:r w:rsidR="00EC464E">
          <w:rPr>
            <w:rFonts w:asciiTheme="minorHAnsi" w:eastAsiaTheme="minorEastAsia" w:hAnsiTheme="minorHAnsi" w:cstheme="minorBidi"/>
            <w:b w:val="0"/>
            <w:bCs w:val="0"/>
            <w:caps w:val="0"/>
            <w:noProof/>
            <w:color w:val="auto"/>
            <w:sz w:val="22"/>
            <w:szCs w:val="22"/>
            <w:lang w:eastAsia="en-GB"/>
          </w:rPr>
          <w:tab/>
        </w:r>
        <w:r w:rsidR="00EC464E" w:rsidRPr="00126DAF">
          <w:rPr>
            <w:rStyle w:val="Hyperlink"/>
            <w:noProof/>
          </w:rPr>
          <w:t>Introduction</w:t>
        </w:r>
        <w:r w:rsidR="00EC464E">
          <w:rPr>
            <w:noProof/>
            <w:webHidden/>
          </w:rPr>
          <w:tab/>
        </w:r>
        <w:r w:rsidR="00E242B8">
          <w:rPr>
            <w:noProof/>
            <w:webHidden/>
          </w:rPr>
          <w:fldChar w:fldCharType="begin"/>
        </w:r>
        <w:r w:rsidR="00EC464E">
          <w:rPr>
            <w:noProof/>
            <w:webHidden/>
          </w:rPr>
          <w:instrText xml:space="preserve"> PAGEREF _Toc377634277 \h </w:instrText>
        </w:r>
        <w:r w:rsidR="00E242B8">
          <w:rPr>
            <w:noProof/>
            <w:webHidden/>
          </w:rPr>
        </w:r>
        <w:r w:rsidR="00E242B8">
          <w:rPr>
            <w:noProof/>
            <w:webHidden/>
          </w:rPr>
          <w:fldChar w:fldCharType="separate"/>
        </w:r>
        <w:r w:rsidR="00EC464E">
          <w:rPr>
            <w:noProof/>
            <w:webHidden/>
          </w:rPr>
          <w:t>2</w:t>
        </w:r>
        <w:r w:rsidR="00E242B8">
          <w:rPr>
            <w:noProof/>
            <w:webHidden/>
          </w:rPr>
          <w:fldChar w:fldCharType="end"/>
        </w:r>
      </w:hyperlink>
    </w:p>
    <w:p w:rsidR="00EC464E" w:rsidRDefault="00137C63">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377634278" w:history="1">
        <w:r w:rsidR="00EC464E" w:rsidRPr="00126DAF">
          <w:rPr>
            <w:rStyle w:val="Hyperlink"/>
            <w:noProof/>
          </w:rPr>
          <w:t>3.</w:t>
        </w:r>
        <w:r w:rsidR="00EC464E">
          <w:rPr>
            <w:rFonts w:asciiTheme="minorHAnsi" w:eastAsiaTheme="minorEastAsia" w:hAnsiTheme="minorHAnsi" w:cstheme="minorBidi"/>
            <w:b w:val="0"/>
            <w:bCs w:val="0"/>
            <w:caps w:val="0"/>
            <w:noProof/>
            <w:color w:val="auto"/>
            <w:sz w:val="22"/>
            <w:szCs w:val="22"/>
            <w:lang w:eastAsia="en-GB"/>
          </w:rPr>
          <w:tab/>
        </w:r>
        <w:r w:rsidR="00EC464E" w:rsidRPr="00126DAF">
          <w:rPr>
            <w:rStyle w:val="Hyperlink"/>
            <w:noProof/>
          </w:rPr>
          <w:t>Research objectives</w:t>
        </w:r>
        <w:r w:rsidR="00EC464E">
          <w:rPr>
            <w:noProof/>
            <w:webHidden/>
          </w:rPr>
          <w:tab/>
        </w:r>
        <w:r w:rsidR="00E242B8">
          <w:rPr>
            <w:noProof/>
            <w:webHidden/>
          </w:rPr>
          <w:fldChar w:fldCharType="begin"/>
        </w:r>
        <w:r w:rsidR="00EC464E">
          <w:rPr>
            <w:noProof/>
            <w:webHidden/>
          </w:rPr>
          <w:instrText xml:space="preserve"> PAGEREF _Toc377634278 \h </w:instrText>
        </w:r>
        <w:r w:rsidR="00E242B8">
          <w:rPr>
            <w:noProof/>
            <w:webHidden/>
          </w:rPr>
        </w:r>
        <w:r w:rsidR="00E242B8">
          <w:rPr>
            <w:noProof/>
            <w:webHidden/>
          </w:rPr>
          <w:fldChar w:fldCharType="separate"/>
        </w:r>
        <w:r w:rsidR="00EC464E">
          <w:rPr>
            <w:noProof/>
            <w:webHidden/>
          </w:rPr>
          <w:t>2</w:t>
        </w:r>
        <w:r w:rsidR="00E242B8">
          <w:rPr>
            <w:noProof/>
            <w:webHidden/>
          </w:rPr>
          <w:fldChar w:fldCharType="end"/>
        </w:r>
      </w:hyperlink>
    </w:p>
    <w:p w:rsidR="00EC464E" w:rsidRDefault="00137C63">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377634279" w:history="1">
        <w:r w:rsidR="00EC464E" w:rsidRPr="00126DAF">
          <w:rPr>
            <w:rStyle w:val="Hyperlink"/>
            <w:noProof/>
          </w:rPr>
          <w:t>4.</w:t>
        </w:r>
        <w:r w:rsidR="00EC464E">
          <w:rPr>
            <w:rFonts w:asciiTheme="minorHAnsi" w:eastAsiaTheme="minorEastAsia" w:hAnsiTheme="minorHAnsi" w:cstheme="minorBidi"/>
            <w:b w:val="0"/>
            <w:bCs w:val="0"/>
            <w:caps w:val="0"/>
            <w:noProof/>
            <w:color w:val="auto"/>
            <w:sz w:val="22"/>
            <w:szCs w:val="22"/>
            <w:lang w:eastAsia="en-GB"/>
          </w:rPr>
          <w:tab/>
        </w:r>
        <w:r w:rsidR="00EC464E" w:rsidRPr="00126DAF">
          <w:rPr>
            <w:rStyle w:val="Hyperlink"/>
            <w:noProof/>
          </w:rPr>
          <w:t>Methodology</w:t>
        </w:r>
        <w:r w:rsidR="00EC464E">
          <w:rPr>
            <w:noProof/>
            <w:webHidden/>
          </w:rPr>
          <w:tab/>
        </w:r>
        <w:r w:rsidR="00E242B8">
          <w:rPr>
            <w:noProof/>
            <w:webHidden/>
          </w:rPr>
          <w:fldChar w:fldCharType="begin"/>
        </w:r>
        <w:r w:rsidR="00EC464E">
          <w:rPr>
            <w:noProof/>
            <w:webHidden/>
          </w:rPr>
          <w:instrText xml:space="preserve"> PAGEREF _Toc377634279 \h </w:instrText>
        </w:r>
        <w:r w:rsidR="00E242B8">
          <w:rPr>
            <w:noProof/>
            <w:webHidden/>
          </w:rPr>
        </w:r>
        <w:r w:rsidR="00E242B8">
          <w:rPr>
            <w:noProof/>
            <w:webHidden/>
          </w:rPr>
          <w:fldChar w:fldCharType="separate"/>
        </w:r>
        <w:r w:rsidR="00EC464E">
          <w:rPr>
            <w:noProof/>
            <w:webHidden/>
          </w:rPr>
          <w:t>3</w:t>
        </w:r>
        <w:r w:rsidR="00E242B8">
          <w:rPr>
            <w:noProof/>
            <w:webHidden/>
          </w:rPr>
          <w:fldChar w:fldCharType="end"/>
        </w:r>
      </w:hyperlink>
    </w:p>
    <w:p w:rsidR="00EC464E" w:rsidRDefault="00137C63">
      <w:pPr>
        <w:pStyle w:val="TOC2"/>
        <w:tabs>
          <w:tab w:val="left" w:pos="1440"/>
        </w:tabs>
        <w:rPr>
          <w:rFonts w:asciiTheme="minorHAnsi" w:eastAsiaTheme="minorEastAsia" w:hAnsiTheme="minorHAnsi" w:cstheme="minorBidi"/>
          <w:noProof/>
          <w:color w:val="auto"/>
          <w:sz w:val="22"/>
          <w:szCs w:val="22"/>
          <w:lang w:eastAsia="en-GB"/>
        </w:rPr>
      </w:pPr>
      <w:hyperlink w:anchor="_Toc377634283" w:history="1">
        <w:r w:rsidR="00EC464E" w:rsidRPr="00126DAF">
          <w:rPr>
            <w:rStyle w:val="Hyperlink"/>
            <w:noProof/>
          </w:rPr>
          <w:t>4.1.</w:t>
        </w:r>
        <w:r w:rsidR="00EC464E">
          <w:rPr>
            <w:rFonts w:asciiTheme="minorHAnsi" w:eastAsiaTheme="minorEastAsia" w:hAnsiTheme="minorHAnsi" w:cstheme="minorBidi"/>
            <w:noProof/>
            <w:color w:val="auto"/>
            <w:sz w:val="22"/>
            <w:szCs w:val="22"/>
            <w:lang w:eastAsia="en-GB"/>
          </w:rPr>
          <w:tab/>
        </w:r>
        <w:r w:rsidR="00EC464E" w:rsidRPr="00126DAF">
          <w:rPr>
            <w:rStyle w:val="Hyperlink"/>
            <w:noProof/>
          </w:rPr>
          <w:t>Limitations</w:t>
        </w:r>
        <w:r w:rsidR="00EC464E">
          <w:rPr>
            <w:noProof/>
            <w:webHidden/>
          </w:rPr>
          <w:tab/>
        </w:r>
        <w:r w:rsidR="00E242B8">
          <w:rPr>
            <w:noProof/>
            <w:webHidden/>
          </w:rPr>
          <w:fldChar w:fldCharType="begin"/>
        </w:r>
        <w:r w:rsidR="00EC464E">
          <w:rPr>
            <w:noProof/>
            <w:webHidden/>
          </w:rPr>
          <w:instrText xml:space="preserve"> PAGEREF _Toc377634283 \h </w:instrText>
        </w:r>
        <w:r w:rsidR="00E242B8">
          <w:rPr>
            <w:noProof/>
            <w:webHidden/>
          </w:rPr>
        </w:r>
        <w:r w:rsidR="00E242B8">
          <w:rPr>
            <w:noProof/>
            <w:webHidden/>
          </w:rPr>
          <w:fldChar w:fldCharType="separate"/>
        </w:r>
        <w:r w:rsidR="00EC464E">
          <w:rPr>
            <w:noProof/>
            <w:webHidden/>
          </w:rPr>
          <w:t>3</w:t>
        </w:r>
        <w:r w:rsidR="00E242B8">
          <w:rPr>
            <w:noProof/>
            <w:webHidden/>
          </w:rPr>
          <w:fldChar w:fldCharType="end"/>
        </w:r>
      </w:hyperlink>
    </w:p>
    <w:p w:rsidR="00EC464E" w:rsidRDefault="00137C63">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377634284" w:history="1">
        <w:r w:rsidR="00EC464E" w:rsidRPr="00126DAF">
          <w:rPr>
            <w:rStyle w:val="Hyperlink"/>
            <w:noProof/>
          </w:rPr>
          <w:t>5.</w:t>
        </w:r>
        <w:r w:rsidR="00EC464E">
          <w:rPr>
            <w:rFonts w:asciiTheme="minorHAnsi" w:eastAsiaTheme="minorEastAsia" w:hAnsiTheme="minorHAnsi" w:cstheme="minorBidi"/>
            <w:b w:val="0"/>
            <w:bCs w:val="0"/>
            <w:caps w:val="0"/>
            <w:noProof/>
            <w:color w:val="auto"/>
            <w:sz w:val="22"/>
            <w:szCs w:val="22"/>
            <w:lang w:eastAsia="en-GB"/>
          </w:rPr>
          <w:tab/>
        </w:r>
        <w:r w:rsidR="00EC464E" w:rsidRPr="00126DAF">
          <w:rPr>
            <w:rStyle w:val="Hyperlink"/>
            <w:noProof/>
          </w:rPr>
          <w:t>Main research findings</w:t>
        </w:r>
        <w:r w:rsidR="00EC464E">
          <w:rPr>
            <w:noProof/>
            <w:webHidden/>
          </w:rPr>
          <w:tab/>
        </w:r>
        <w:r w:rsidR="00E242B8">
          <w:rPr>
            <w:noProof/>
            <w:webHidden/>
          </w:rPr>
          <w:fldChar w:fldCharType="begin"/>
        </w:r>
        <w:r w:rsidR="00EC464E">
          <w:rPr>
            <w:noProof/>
            <w:webHidden/>
          </w:rPr>
          <w:instrText xml:space="preserve"> PAGEREF _Toc377634284 \h </w:instrText>
        </w:r>
        <w:r w:rsidR="00E242B8">
          <w:rPr>
            <w:noProof/>
            <w:webHidden/>
          </w:rPr>
        </w:r>
        <w:r w:rsidR="00E242B8">
          <w:rPr>
            <w:noProof/>
            <w:webHidden/>
          </w:rPr>
          <w:fldChar w:fldCharType="separate"/>
        </w:r>
        <w:r w:rsidR="00EC464E">
          <w:rPr>
            <w:noProof/>
            <w:webHidden/>
          </w:rPr>
          <w:t>5</w:t>
        </w:r>
        <w:r w:rsidR="00E242B8">
          <w:rPr>
            <w:noProof/>
            <w:webHidden/>
          </w:rPr>
          <w:fldChar w:fldCharType="end"/>
        </w:r>
      </w:hyperlink>
    </w:p>
    <w:p w:rsidR="00EC464E" w:rsidRDefault="00137C63">
      <w:pPr>
        <w:pStyle w:val="TOC2"/>
        <w:tabs>
          <w:tab w:val="left" w:pos="1440"/>
        </w:tabs>
        <w:rPr>
          <w:rFonts w:asciiTheme="minorHAnsi" w:eastAsiaTheme="minorEastAsia" w:hAnsiTheme="minorHAnsi" w:cstheme="minorBidi"/>
          <w:noProof/>
          <w:color w:val="auto"/>
          <w:sz w:val="22"/>
          <w:szCs w:val="22"/>
          <w:lang w:eastAsia="en-GB"/>
        </w:rPr>
      </w:pPr>
      <w:hyperlink w:anchor="_Toc377634287" w:history="1">
        <w:r w:rsidR="00EC464E" w:rsidRPr="00126DAF">
          <w:rPr>
            <w:rStyle w:val="Hyperlink"/>
            <w:noProof/>
          </w:rPr>
          <w:t>5.1.</w:t>
        </w:r>
        <w:r w:rsidR="00EC464E">
          <w:rPr>
            <w:rFonts w:asciiTheme="minorHAnsi" w:eastAsiaTheme="minorEastAsia" w:hAnsiTheme="minorHAnsi" w:cstheme="minorBidi"/>
            <w:noProof/>
            <w:color w:val="auto"/>
            <w:sz w:val="22"/>
            <w:szCs w:val="22"/>
            <w:lang w:eastAsia="en-GB"/>
          </w:rPr>
          <w:tab/>
        </w:r>
        <w:r w:rsidR="00EC464E" w:rsidRPr="00126DAF">
          <w:rPr>
            <w:rStyle w:val="Hyperlink"/>
            <w:noProof/>
          </w:rPr>
          <w:t>Priorities for spending</w:t>
        </w:r>
        <w:r w:rsidR="00EC464E">
          <w:rPr>
            <w:noProof/>
            <w:webHidden/>
          </w:rPr>
          <w:tab/>
        </w:r>
        <w:r w:rsidR="00E242B8">
          <w:rPr>
            <w:noProof/>
            <w:webHidden/>
          </w:rPr>
          <w:fldChar w:fldCharType="begin"/>
        </w:r>
        <w:r w:rsidR="00EC464E">
          <w:rPr>
            <w:noProof/>
            <w:webHidden/>
          </w:rPr>
          <w:instrText xml:space="preserve"> PAGEREF _Toc377634287 \h </w:instrText>
        </w:r>
        <w:r w:rsidR="00E242B8">
          <w:rPr>
            <w:noProof/>
            <w:webHidden/>
          </w:rPr>
        </w:r>
        <w:r w:rsidR="00E242B8">
          <w:rPr>
            <w:noProof/>
            <w:webHidden/>
          </w:rPr>
          <w:fldChar w:fldCharType="separate"/>
        </w:r>
        <w:r w:rsidR="00EC464E">
          <w:rPr>
            <w:noProof/>
            <w:webHidden/>
          </w:rPr>
          <w:t>5</w:t>
        </w:r>
        <w:r w:rsidR="00E242B8">
          <w:rPr>
            <w:noProof/>
            <w:webHidden/>
          </w:rPr>
          <w:fldChar w:fldCharType="end"/>
        </w:r>
      </w:hyperlink>
    </w:p>
    <w:p w:rsidR="00EC464E" w:rsidRDefault="00137C63">
      <w:pPr>
        <w:pStyle w:val="TOC3"/>
        <w:tabs>
          <w:tab w:val="left" w:pos="2194"/>
        </w:tabs>
        <w:rPr>
          <w:rFonts w:asciiTheme="minorHAnsi" w:eastAsiaTheme="minorEastAsia" w:hAnsiTheme="minorHAnsi" w:cstheme="minorBidi"/>
          <w:i w:val="0"/>
          <w:noProof/>
          <w:color w:val="auto"/>
          <w:sz w:val="22"/>
          <w:szCs w:val="22"/>
          <w:lang w:eastAsia="en-GB"/>
        </w:rPr>
      </w:pPr>
      <w:hyperlink w:anchor="_Toc377634293" w:history="1">
        <w:r w:rsidR="00EC464E" w:rsidRPr="00126DAF">
          <w:rPr>
            <w:rStyle w:val="Hyperlink"/>
            <w:noProof/>
          </w:rPr>
          <w:t>5.1.1</w:t>
        </w:r>
        <w:r w:rsidR="00EC464E">
          <w:rPr>
            <w:rFonts w:asciiTheme="minorHAnsi" w:eastAsiaTheme="minorEastAsia" w:hAnsiTheme="minorHAnsi" w:cstheme="minorBidi"/>
            <w:i w:val="0"/>
            <w:noProof/>
            <w:color w:val="auto"/>
            <w:sz w:val="22"/>
            <w:szCs w:val="22"/>
            <w:lang w:eastAsia="en-GB"/>
          </w:rPr>
          <w:tab/>
        </w:r>
        <w:r w:rsidR="00EC464E" w:rsidRPr="00126DAF">
          <w:rPr>
            <w:rStyle w:val="Hyperlink"/>
            <w:noProof/>
          </w:rPr>
          <w:t>Individual services - high priority for spending</w:t>
        </w:r>
        <w:r w:rsidR="00EC464E">
          <w:rPr>
            <w:noProof/>
            <w:webHidden/>
          </w:rPr>
          <w:tab/>
        </w:r>
        <w:r w:rsidR="00E242B8">
          <w:rPr>
            <w:noProof/>
            <w:webHidden/>
          </w:rPr>
          <w:fldChar w:fldCharType="begin"/>
        </w:r>
        <w:r w:rsidR="00EC464E">
          <w:rPr>
            <w:noProof/>
            <w:webHidden/>
          </w:rPr>
          <w:instrText xml:space="preserve"> PAGEREF _Toc377634293 \h </w:instrText>
        </w:r>
        <w:r w:rsidR="00E242B8">
          <w:rPr>
            <w:noProof/>
            <w:webHidden/>
          </w:rPr>
        </w:r>
        <w:r w:rsidR="00E242B8">
          <w:rPr>
            <w:noProof/>
            <w:webHidden/>
          </w:rPr>
          <w:fldChar w:fldCharType="separate"/>
        </w:r>
        <w:r w:rsidR="00EC464E">
          <w:rPr>
            <w:noProof/>
            <w:webHidden/>
          </w:rPr>
          <w:t>5</w:t>
        </w:r>
        <w:r w:rsidR="00E242B8">
          <w:rPr>
            <w:noProof/>
            <w:webHidden/>
          </w:rPr>
          <w:fldChar w:fldCharType="end"/>
        </w:r>
      </w:hyperlink>
    </w:p>
    <w:p w:rsidR="00EC464E" w:rsidRDefault="00137C63">
      <w:pPr>
        <w:pStyle w:val="TOC3"/>
        <w:tabs>
          <w:tab w:val="left" w:pos="2194"/>
        </w:tabs>
        <w:rPr>
          <w:rFonts w:asciiTheme="minorHAnsi" w:eastAsiaTheme="minorEastAsia" w:hAnsiTheme="minorHAnsi" w:cstheme="minorBidi"/>
          <w:i w:val="0"/>
          <w:noProof/>
          <w:color w:val="auto"/>
          <w:sz w:val="22"/>
          <w:szCs w:val="22"/>
          <w:lang w:eastAsia="en-GB"/>
        </w:rPr>
      </w:pPr>
      <w:hyperlink w:anchor="_Toc377634294" w:history="1">
        <w:r w:rsidR="00EC464E" w:rsidRPr="00126DAF">
          <w:rPr>
            <w:rStyle w:val="Hyperlink"/>
            <w:noProof/>
          </w:rPr>
          <w:t>5.1.2</w:t>
        </w:r>
        <w:r w:rsidR="00EC464E">
          <w:rPr>
            <w:rFonts w:asciiTheme="minorHAnsi" w:eastAsiaTheme="minorEastAsia" w:hAnsiTheme="minorHAnsi" w:cstheme="minorBidi"/>
            <w:i w:val="0"/>
            <w:noProof/>
            <w:color w:val="auto"/>
            <w:sz w:val="22"/>
            <w:szCs w:val="22"/>
            <w:lang w:eastAsia="en-GB"/>
          </w:rPr>
          <w:tab/>
        </w:r>
        <w:r w:rsidR="00EC464E" w:rsidRPr="00126DAF">
          <w:rPr>
            <w:rStyle w:val="Hyperlink"/>
            <w:noProof/>
          </w:rPr>
          <w:t>Individual services - low priority for spending</w:t>
        </w:r>
        <w:r w:rsidR="00EC464E">
          <w:rPr>
            <w:noProof/>
            <w:webHidden/>
          </w:rPr>
          <w:tab/>
        </w:r>
        <w:r w:rsidR="00E242B8">
          <w:rPr>
            <w:noProof/>
            <w:webHidden/>
          </w:rPr>
          <w:fldChar w:fldCharType="begin"/>
        </w:r>
        <w:r w:rsidR="00EC464E">
          <w:rPr>
            <w:noProof/>
            <w:webHidden/>
          </w:rPr>
          <w:instrText xml:space="preserve"> PAGEREF _Toc377634294 \h </w:instrText>
        </w:r>
        <w:r w:rsidR="00E242B8">
          <w:rPr>
            <w:noProof/>
            <w:webHidden/>
          </w:rPr>
        </w:r>
        <w:r w:rsidR="00E242B8">
          <w:rPr>
            <w:noProof/>
            <w:webHidden/>
          </w:rPr>
          <w:fldChar w:fldCharType="separate"/>
        </w:r>
        <w:r w:rsidR="00EC464E">
          <w:rPr>
            <w:noProof/>
            <w:webHidden/>
          </w:rPr>
          <w:t>8</w:t>
        </w:r>
        <w:r w:rsidR="00E242B8">
          <w:rPr>
            <w:noProof/>
            <w:webHidden/>
          </w:rPr>
          <w:fldChar w:fldCharType="end"/>
        </w:r>
      </w:hyperlink>
    </w:p>
    <w:p w:rsidR="00EC464E" w:rsidRDefault="00137C63">
      <w:pPr>
        <w:pStyle w:val="TOC2"/>
        <w:tabs>
          <w:tab w:val="left" w:pos="1440"/>
        </w:tabs>
        <w:rPr>
          <w:rFonts w:asciiTheme="minorHAnsi" w:eastAsiaTheme="minorEastAsia" w:hAnsiTheme="minorHAnsi" w:cstheme="minorBidi"/>
          <w:noProof/>
          <w:color w:val="auto"/>
          <w:sz w:val="22"/>
          <w:szCs w:val="22"/>
          <w:lang w:eastAsia="en-GB"/>
        </w:rPr>
      </w:pPr>
      <w:hyperlink w:anchor="_Toc377634295" w:history="1">
        <w:r w:rsidR="00EC464E" w:rsidRPr="00126DAF">
          <w:rPr>
            <w:rStyle w:val="Hyperlink"/>
            <w:noProof/>
          </w:rPr>
          <w:t>5.2.</w:t>
        </w:r>
        <w:r w:rsidR="00EC464E">
          <w:rPr>
            <w:rFonts w:asciiTheme="minorHAnsi" w:eastAsiaTheme="minorEastAsia" w:hAnsiTheme="minorHAnsi" w:cstheme="minorBidi"/>
            <w:noProof/>
            <w:color w:val="auto"/>
            <w:sz w:val="22"/>
            <w:szCs w:val="22"/>
            <w:lang w:eastAsia="en-GB"/>
          </w:rPr>
          <w:tab/>
        </w:r>
        <w:r w:rsidR="00EC464E" w:rsidRPr="00126DAF">
          <w:rPr>
            <w:rStyle w:val="Hyperlink"/>
            <w:noProof/>
          </w:rPr>
          <w:t>Budget decisions</w:t>
        </w:r>
        <w:r w:rsidR="00EC464E">
          <w:rPr>
            <w:noProof/>
            <w:webHidden/>
          </w:rPr>
          <w:tab/>
        </w:r>
        <w:r w:rsidR="00E242B8">
          <w:rPr>
            <w:noProof/>
            <w:webHidden/>
          </w:rPr>
          <w:fldChar w:fldCharType="begin"/>
        </w:r>
        <w:r w:rsidR="00EC464E">
          <w:rPr>
            <w:noProof/>
            <w:webHidden/>
          </w:rPr>
          <w:instrText xml:space="preserve"> PAGEREF _Toc377634295 \h </w:instrText>
        </w:r>
        <w:r w:rsidR="00E242B8">
          <w:rPr>
            <w:noProof/>
            <w:webHidden/>
          </w:rPr>
        </w:r>
        <w:r w:rsidR="00E242B8">
          <w:rPr>
            <w:noProof/>
            <w:webHidden/>
          </w:rPr>
          <w:fldChar w:fldCharType="separate"/>
        </w:r>
        <w:r w:rsidR="00EC464E">
          <w:rPr>
            <w:noProof/>
            <w:webHidden/>
          </w:rPr>
          <w:t>10</w:t>
        </w:r>
        <w:r w:rsidR="00E242B8">
          <w:rPr>
            <w:noProof/>
            <w:webHidden/>
          </w:rPr>
          <w:fldChar w:fldCharType="end"/>
        </w:r>
      </w:hyperlink>
    </w:p>
    <w:p w:rsidR="00EC464E" w:rsidRDefault="00137C63">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377634296" w:history="1">
        <w:r w:rsidR="00EC464E" w:rsidRPr="00126DAF">
          <w:rPr>
            <w:rStyle w:val="Hyperlink"/>
            <w:noProof/>
          </w:rPr>
          <w:t>6.</w:t>
        </w:r>
        <w:r w:rsidR="00EC464E">
          <w:rPr>
            <w:rFonts w:asciiTheme="minorHAnsi" w:eastAsiaTheme="minorEastAsia" w:hAnsiTheme="minorHAnsi" w:cstheme="minorBidi"/>
            <w:b w:val="0"/>
            <w:bCs w:val="0"/>
            <w:caps w:val="0"/>
            <w:noProof/>
            <w:color w:val="auto"/>
            <w:sz w:val="22"/>
            <w:szCs w:val="22"/>
            <w:lang w:eastAsia="en-GB"/>
          </w:rPr>
          <w:tab/>
        </w:r>
        <w:r w:rsidR="00EC464E" w:rsidRPr="00126DAF">
          <w:rPr>
            <w:rStyle w:val="Hyperlink"/>
            <w:noProof/>
          </w:rPr>
          <w:t>Appendix</w:t>
        </w:r>
        <w:r w:rsidR="00EC464E" w:rsidRPr="00126DAF">
          <w:rPr>
            <w:rStyle w:val="Hyperlink"/>
            <w:noProof/>
            <w:lang w:eastAsia="en-GB"/>
          </w:rPr>
          <w:t xml:space="preserve"> 1: Socio-Economic-Group Definitions</w:t>
        </w:r>
        <w:r w:rsidR="00EC464E">
          <w:rPr>
            <w:noProof/>
            <w:webHidden/>
          </w:rPr>
          <w:tab/>
        </w:r>
        <w:r w:rsidR="00E242B8">
          <w:rPr>
            <w:noProof/>
            <w:webHidden/>
          </w:rPr>
          <w:fldChar w:fldCharType="begin"/>
        </w:r>
        <w:r w:rsidR="00EC464E">
          <w:rPr>
            <w:noProof/>
            <w:webHidden/>
          </w:rPr>
          <w:instrText xml:space="preserve"> PAGEREF _Toc377634296 \h </w:instrText>
        </w:r>
        <w:r w:rsidR="00E242B8">
          <w:rPr>
            <w:noProof/>
            <w:webHidden/>
          </w:rPr>
        </w:r>
        <w:r w:rsidR="00E242B8">
          <w:rPr>
            <w:noProof/>
            <w:webHidden/>
          </w:rPr>
          <w:fldChar w:fldCharType="separate"/>
        </w:r>
        <w:r w:rsidR="00EC464E">
          <w:rPr>
            <w:noProof/>
            <w:webHidden/>
          </w:rPr>
          <w:t>11</w:t>
        </w:r>
        <w:r w:rsidR="00E242B8">
          <w:rPr>
            <w:noProof/>
            <w:webHidden/>
          </w:rPr>
          <w:fldChar w:fldCharType="end"/>
        </w:r>
      </w:hyperlink>
    </w:p>
    <w:p w:rsidR="00EC464E" w:rsidRDefault="00137C63">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377634297" w:history="1">
        <w:r w:rsidR="00EC464E" w:rsidRPr="00126DAF">
          <w:rPr>
            <w:rStyle w:val="Hyperlink"/>
            <w:noProof/>
          </w:rPr>
          <w:t>7.</w:t>
        </w:r>
        <w:r w:rsidR="00EC464E">
          <w:rPr>
            <w:rFonts w:asciiTheme="minorHAnsi" w:eastAsiaTheme="minorEastAsia" w:hAnsiTheme="minorHAnsi" w:cstheme="minorBidi"/>
            <w:b w:val="0"/>
            <w:bCs w:val="0"/>
            <w:caps w:val="0"/>
            <w:noProof/>
            <w:color w:val="auto"/>
            <w:sz w:val="22"/>
            <w:szCs w:val="22"/>
            <w:lang w:eastAsia="en-GB"/>
          </w:rPr>
          <w:tab/>
        </w:r>
        <w:r w:rsidR="00EC464E" w:rsidRPr="00126DAF">
          <w:rPr>
            <w:rStyle w:val="Hyperlink"/>
            <w:noProof/>
          </w:rPr>
          <w:t>Appendix 2: marked up questionnaire</w:t>
        </w:r>
        <w:r w:rsidR="00EC464E">
          <w:rPr>
            <w:noProof/>
            <w:webHidden/>
          </w:rPr>
          <w:tab/>
        </w:r>
        <w:r w:rsidR="00E242B8">
          <w:rPr>
            <w:noProof/>
            <w:webHidden/>
          </w:rPr>
          <w:fldChar w:fldCharType="begin"/>
        </w:r>
        <w:r w:rsidR="00EC464E">
          <w:rPr>
            <w:noProof/>
            <w:webHidden/>
          </w:rPr>
          <w:instrText xml:space="preserve"> PAGEREF _Toc377634297 \h </w:instrText>
        </w:r>
        <w:r w:rsidR="00E242B8">
          <w:rPr>
            <w:noProof/>
            <w:webHidden/>
          </w:rPr>
        </w:r>
        <w:r w:rsidR="00E242B8">
          <w:rPr>
            <w:noProof/>
            <w:webHidden/>
          </w:rPr>
          <w:fldChar w:fldCharType="separate"/>
        </w:r>
        <w:r w:rsidR="00EC464E">
          <w:rPr>
            <w:noProof/>
            <w:webHidden/>
          </w:rPr>
          <w:t>12</w:t>
        </w:r>
        <w:r w:rsidR="00E242B8">
          <w:rPr>
            <w:noProof/>
            <w:webHidden/>
          </w:rPr>
          <w:fldChar w:fldCharType="end"/>
        </w:r>
      </w:hyperlink>
    </w:p>
    <w:p w:rsidR="00014ABA" w:rsidRDefault="00E242B8">
      <w:r>
        <w:fldChar w:fldCharType="end"/>
      </w:r>
    </w:p>
    <w:p w:rsidR="00E33FA3" w:rsidRPr="00BF51B5" w:rsidRDefault="00E33FA3" w:rsidP="00E33FA3">
      <w:pPr>
        <w:pStyle w:val="BodyText1"/>
      </w:pPr>
    </w:p>
    <w:p w:rsidR="009C760E" w:rsidRDefault="009C760E" w:rsidP="00691147">
      <w:pPr>
        <w:pStyle w:val="Heading1"/>
        <w:rPr>
          <w:lang w:eastAsia="en-GB"/>
        </w:rPr>
        <w:sectPr w:rsidR="009C760E" w:rsidSect="009C760E">
          <w:headerReference w:type="default" r:id="rId9"/>
          <w:headerReference w:type="first" r:id="rId10"/>
          <w:type w:val="continuous"/>
          <w:pgSz w:w="11906" w:h="16838" w:code="9"/>
          <w:pgMar w:top="1440" w:right="1797" w:bottom="1440" w:left="1797" w:header="720" w:footer="720" w:gutter="0"/>
          <w:pgNumType w:start="1"/>
          <w:cols w:space="720"/>
          <w:titlePg/>
          <w:docGrid w:linePitch="360"/>
        </w:sectPr>
      </w:pPr>
    </w:p>
    <w:p w:rsidR="000701AB" w:rsidRPr="00760D86" w:rsidRDefault="000701AB" w:rsidP="00691147">
      <w:pPr>
        <w:pStyle w:val="Heading1"/>
      </w:pPr>
      <w:bookmarkStart w:id="12" w:name="_Toc311022196"/>
      <w:bookmarkStart w:id="13" w:name="_Toc377634274"/>
      <w:r w:rsidRPr="00760D86">
        <w:t>Executive</w:t>
      </w:r>
      <w:r w:rsidR="00BD0D73" w:rsidRPr="00760D86">
        <w:t xml:space="preserve"> s</w:t>
      </w:r>
      <w:r w:rsidRPr="00760D86">
        <w:t>ummary</w:t>
      </w:r>
      <w:bookmarkEnd w:id="12"/>
      <w:bookmarkEnd w:id="13"/>
    </w:p>
    <w:p w:rsidR="002C232B" w:rsidRDefault="002C232B" w:rsidP="002C232B">
      <w:pPr>
        <w:pStyle w:val="wavebody0"/>
      </w:pPr>
      <w:r w:rsidRPr="002C74FB">
        <w:t xml:space="preserve">This wave of the </w:t>
      </w:r>
      <w:r>
        <w:t>Living</w:t>
      </w:r>
      <w:r w:rsidRPr="002C74FB">
        <w:t xml:space="preserve"> in Lancashire panel dealt with priorities for the county council</w:t>
      </w:r>
      <w:r>
        <w:t>'s</w:t>
      </w:r>
      <w:r w:rsidRPr="002C74FB">
        <w:t xml:space="preserve"> budget. </w:t>
      </w:r>
      <w:r w:rsidRPr="00184F4B">
        <w:t xml:space="preserve">The survey was sent by email or by post to all </w:t>
      </w:r>
      <w:r w:rsidR="004A148F">
        <w:t>2,676</w:t>
      </w:r>
      <w:r w:rsidRPr="00184F4B">
        <w:t xml:space="preserve"> members of the pane</w:t>
      </w:r>
      <w:r w:rsidR="00560C82">
        <w:t>l between 15 November and 6 December.</w:t>
      </w:r>
      <w:r w:rsidRPr="00184F4B">
        <w:t xml:space="preserve"> </w:t>
      </w:r>
      <w:r w:rsidR="00560C82">
        <w:t>The fieldwork ended on 23</w:t>
      </w:r>
      <w:r w:rsidRPr="00184F4B">
        <w:t xml:space="preserve"> December 2013. </w:t>
      </w:r>
      <w:r w:rsidRPr="00EE74E6">
        <w:t xml:space="preserve">In total </w:t>
      </w:r>
      <w:r w:rsidR="00CA1EC9" w:rsidRPr="004A148F">
        <w:t>1,266</w:t>
      </w:r>
      <w:r w:rsidRPr="004A148F">
        <w:t xml:space="preserve"> questionnaires were returned, giving an overall response rate of </w:t>
      </w:r>
      <w:r w:rsidR="004A148F">
        <w:t>47</w:t>
      </w:r>
      <w:r w:rsidRPr="004A148F">
        <w:t>%.</w:t>
      </w:r>
    </w:p>
    <w:p w:rsidR="001942E4" w:rsidRPr="00760D86" w:rsidRDefault="00A202D2" w:rsidP="00691147">
      <w:pPr>
        <w:pStyle w:val="Heading2"/>
      </w:pPr>
      <w:bookmarkStart w:id="14" w:name="_Toc304384964"/>
      <w:bookmarkStart w:id="15" w:name="_Toc311022197"/>
      <w:bookmarkStart w:id="16" w:name="_Toc377634275"/>
      <w:r w:rsidRPr="00760D86">
        <w:t>Key findings</w:t>
      </w:r>
      <w:bookmarkEnd w:id="14"/>
      <w:bookmarkEnd w:id="15"/>
      <w:bookmarkEnd w:id="16"/>
    </w:p>
    <w:p w:rsidR="002C232B" w:rsidRPr="00850CCC" w:rsidRDefault="002C232B" w:rsidP="00760D86">
      <w:pPr>
        <w:ind w:left="426"/>
        <w:rPr>
          <w:b/>
          <w:i/>
          <w:color w:val="C00000"/>
        </w:rPr>
      </w:pPr>
      <w:bookmarkStart w:id="17" w:name="_Toc343244239"/>
      <w:r w:rsidRPr="00850CCC">
        <w:rPr>
          <w:b/>
          <w:i/>
          <w:color w:val="C00000"/>
        </w:rPr>
        <w:t>Highest priority services for spending in the coming years</w:t>
      </w:r>
      <w:bookmarkEnd w:id="17"/>
    </w:p>
    <w:p w:rsidR="002C232B" w:rsidRPr="001859A6" w:rsidRDefault="002C232B" w:rsidP="002C232B">
      <w:pPr>
        <w:pStyle w:val="BodyTextIndent2"/>
        <w:numPr>
          <w:ilvl w:val="0"/>
          <w:numId w:val="13"/>
        </w:numPr>
        <w:jc w:val="left"/>
      </w:pPr>
      <w:r w:rsidRPr="001859A6">
        <w:rPr>
          <w:b/>
        </w:rPr>
        <w:t>Services for older people</w:t>
      </w:r>
      <w:r w:rsidR="001859A6" w:rsidRPr="001859A6">
        <w:rPr>
          <w:b/>
        </w:rPr>
        <w:t xml:space="preserve"> </w:t>
      </w:r>
      <w:r w:rsidR="001859A6" w:rsidRPr="001859A6">
        <w:t>(60%)</w:t>
      </w:r>
      <w:r w:rsidRPr="001859A6">
        <w:t xml:space="preserve">, </w:t>
      </w:r>
      <w:r w:rsidR="001859A6" w:rsidRPr="001859A6">
        <w:rPr>
          <w:b/>
        </w:rPr>
        <w:t xml:space="preserve">repairing roads and bridges </w:t>
      </w:r>
      <w:r w:rsidR="001859A6" w:rsidRPr="001859A6">
        <w:t>(45%)</w:t>
      </w:r>
      <w:r w:rsidRPr="001859A6">
        <w:t xml:space="preserve"> and </w:t>
      </w:r>
      <w:r w:rsidR="001859A6" w:rsidRPr="001859A6">
        <w:rPr>
          <w:b/>
        </w:rPr>
        <w:t xml:space="preserve">primary and secondary education </w:t>
      </w:r>
      <w:r w:rsidR="001859A6" w:rsidRPr="001859A6">
        <w:t>(45%)</w:t>
      </w:r>
      <w:r w:rsidRPr="001859A6">
        <w:rPr>
          <w:b/>
        </w:rPr>
        <w:t xml:space="preserve"> </w:t>
      </w:r>
      <w:r w:rsidRPr="001859A6">
        <w:t xml:space="preserve">are seen as the highest spending priorities for the coming years. </w:t>
      </w:r>
    </w:p>
    <w:p w:rsidR="002C232B" w:rsidRPr="002C232B" w:rsidRDefault="002C232B" w:rsidP="002C232B">
      <w:pPr>
        <w:pStyle w:val="BodyTextIndent2"/>
        <w:jc w:val="left"/>
        <w:rPr>
          <w:highlight w:val="yellow"/>
        </w:rPr>
      </w:pPr>
    </w:p>
    <w:p w:rsidR="002C232B" w:rsidRPr="00850CCC" w:rsidRDefault="002C232B" w:rsidP="00760D86">
      <w:pPr>
        <w:ind w:left="426"/>
        <w:rPr>
          <w:b/>
          <w:i/>
          <w:color w:val="C00000"/>
        </w:rPr>
      </w:pPr>
      <w:bookmarkStart w:id="18" w:name="_Toc343244240"/>
      <w:r w:rsidRPr="00850CCC">
        <w:rPr>
          <w:b/>
          <w:i/>
          <w:color w:val="C00000"/>
        </w:rPr>
        <w:t>Lowest spending priorities in the coming years</w:t>
      </w:r>
      <w:bookmarkEnd w:id="18"/>
    </w:p>
    <w:p w:rsidR="002C232B" w:rsidRPr="001859A6" w:rsidRDefault="001859A6" w:rsidP="002C232B">
      <w:pPr>
        <w:pStyle w:val="BodyTextIndent2"/>
        <w:numPr>
          <w:ilvl w:val="0"/>
          <w:numId w:val="13"/>
        </w:numPr>
        <w:jc w:val="left"/>
        <w:rPr>
          <w:snapToGrid w:val="0"/>
        </w:rPr>
      </w:pPr>
      <w:r w:rsidRPr="001859A6">
        <w:rPr>
          <w:snapToGrid w:val="0"/>
        </w:rPr>
        <w:t>As in the 2012 and 2011</w:t>
      </w:r>
      <w:r w:rsidR="002C232B" w:rsidRPr="001859A6">
        <w:rPr>
          <w:snapToGrid w:val="0"/>
        </w:rPr>
        <w:t xml:space="preserve"> surveys, </w:t>
      </w:r>
      <w:r w:rsidR="002C232B" w:rsidRPr="001859A6">
        <w:rPr>
          <w:b/>
          <w:snapToGrid w:val="0"/>
        </w:rPr>
        <w:t xml:space="preserve">museums </w:t>
      </w:r>
      <w:r w:rsidR="002C232B" w:rsidRPr="001859A6">
        <w:rPr>
          <w:snapToGrid w:val="0"/>
        </w:rPr>
        <w:t xml:space="preserve">are seen as the service that should be the lowest priority for </w:t>
      </w:r>
      <w:r w:rsidRPr="001859A6">
        <w:rPr>
          <w:snapToGrid w:val="0"/>
        </w:rPr>
        <w:t>spending in the coming years (45</w:t>
      </w:r>
      <w:r w:rsidR="002C232B" w:rsidRPr="001859A6">
        <w:rPr>
          <w:snapToGrid w:val="0"/>
        </w:rPr>
        <w:t xml:space="preserve">%). </w:t>
      </w:r>
    </w:p>
    <w:p w:rsidR="002C232B" w:rsidRPr="001859A6" w:rsidRDefault="002C232B" w:rsidP="002C232B">
      <w:pPr>
        <w:pStyle w:val="BodyTextIndent2"/>
        <w:ind w:left="1146"/>
        <w:jc w:val="left"/>
        <w:rPr>
          <w:snapToGrid w:val="0"/>
        </w:rPr>
      </w:pPr>
    </w:p>
    <w:p w:rsidR="002C232B" w:rsidRPr="001859A6" w:rsidRDefault="001859A6" w:rsidP="002C232B">
      <w:pPr>
        <w:pStyle w:val="BodyTextIndent2"/>
        <w:numPr>
          <w:ilvl w:val="0"/>
          <w:numId w:val="13"/>
        </w:numPr>
        <w:jc w:val="left"/>
      </w:pPr>
      <w:r w:rsidRPr="001859A6">
        <w:rPr>
          <w:b/>
          <w:snapToGrid w:val="0"/>
        </w:rPr>
        <w:t>C</w:t>
      </w:r>
      <w:r w:rsidR="002C232B" w:rsidRPr="001859A6">
        <w:rPr>
          <w:b/>
          <w:snapToGrid w:val="0"/>
        </w:rPr>
        <w:t>ountry parks, open spaces and picnic sites</w:t>
      </w:r>
      <w:r w:rsidRPr="001859A6">
        <w:rPr>
          <w:b/>
          <w:snapToGrid w:val="0"/>
        </w:rPr>
        <w:t xml:space="preserve"> </w:t>
      </w:r>
      <w:r w:rsidRPr="001859A6">
        <w:rPr>
          <w:snapToGrid w:val="0"/>
        </w:rPr>
        <w:t xml:space="preserve">(28%), </w:t>
      </w:r>
      <w:r w:rsidRPr="001859A6">
        <w:rPr>
          <w:b/>
          <w:snapToGrid w:val="0"/>
        </w:rPr>
        <w:t xml:space="preserve">adult education </w:t>
      </w:r>
      <w:r w:rsidRPr="001859A6">
        <w:rPr>
          <w:snapToGrid w:val="0"/>
        </w:rPr>
        <w:t>(27%)</w:t>
      </w:r>
      <w:r w:rsidR="002C232B" w:rsidRPr="001859A6">
        <w:rPr>
          <w:snapToGrid w:val="0"/>
        </w:rPr>
        <w:t xml:space="preserve"> and </w:t>
      </w:r>
      <w:r w:rsidR="002C232B" w:rsidRPr="001859A6">
        <w:rPr>
          <w:b/>
          <w:snapToGrid w:val="0"/>
        </w:rPr>
        <w:t>welfare rights</w:t>
      </w:r>
      <w:r w:rsidRPr="001859A6">
        <w:rPr>
          <w:b/>
          <w:snapToGrid w:val="0"/>
        </w:rPr>
        <w:t xml:space="preserve"> </w:t>
      </w:r>
      <w:r w:rsidRPr="001859A6">
        <w:rPr>
          <w:snapToGrid w:val="0"/>
        </w:rPr>
        <w:t>(26%)</w:t>
      </w:r>
      <w:r w:rsidR="002C232B" w:rsidRPr="001859A6">
        <w:rPr>
          <w:b/>
          <w:snapToGrid w:val="0"/>
        </w:rPr>
        <w:t xml:space="preserve"> </w:t>
      </w:r>
      <w:r w:rsidR="002C232B" w:rsidRPr="001859A6">
        <w:rPr>
          <w:snapToGrid w:val="0"/>
        </w:rPr>
        <w:t>are see</w:t>
      </w:r>
      <w:r w:rsidRPr="001859A6">
        <w:rPr>
          <w:snapToGrid w:val="0"/>
        </w:rPr>
        <w:t>n as the next lowest priorities.</w:t>
      </w:r>
    </w:p>
    <w:p w:rsidR="002C232B" w:rsidRPr="002C232B" w:rsidRDefault="002C232B" w:rsidP="002C232B">
      <w:pPr>
        <w:pStyle w:val="BodyTextIndent2"/>
        <w:ind w:left="1146"/>
        <w:jc w:val="left"/>
        <w:rPr>
          <w:highlight w:val="yellow"/>
        </w:rPr>
      </w:pPr>
    </w:p>
    <w:p w:rsidR="002C232B" w:rsidRPr="00850CCC" w:rsidRDefault="002C232B" w:rsidP="00760D86">
      <w:pPr>
        <w:ind w:left="426"/>
        <w:rPr>
          <w:color w:val="C00000"/>
        </w:rPr>
      </w:pPr>
      <w:bookmarkStart w:id="19" w:name="_Toc343244241"/>
      <w:r w:rsidRPr="00850CCC">
        <w:rPr>
          <w:b/>
          <w:i/>
          <w:color w:val="C00000"/>
        </w:rPr>
        <w:t>Budget</w:t>
      </w:r>
      <w:r w:rsidRPr="00850CCC">
        <w:rPr>
          <w:color w:val="C00000"/>
        </w:rPr>
        <w:t xml:space="preserve"> </w:t>
      </w:r>
      <w:r w:rsidRPr="00850CCC">
        <w:rPr>
          <w:b/>
          <w:i/>
          <w:color w:val="C00000"/>
        </w:rPr>
        <w:t>decisions</w:t>
      </w:r>
      <w:bookmarkEnd w:id="19"/>
    </w:p>
    <w:p w:rsidR="002C232B" w:rsidRPr="001859A6" w:rsidRDefault="00584303" w:rsidP="002C232B">
      <w:pPr>
        <w:pStyle w:val="BodyTextIndent2"/>
        <w:numPr>
          <w:ilvl w:val="0"/>
          <w:numId w:val="13"/>
        </w:numPr>
        <w:jc w:val="left"/>
      </w:pPr>
      <w:r>
        <w:rPr>
          <w:snapToGrid w:val="0"/>
        </w:rPr>
        <w:t>Four-</w:t>
      </w:r>
      <w:r w:rsidR="002C232B" w:rsidRPr="001859A6">
        <w:rPr>
          <w:snapToGrid w:val="0"/>
        </w:rPr>
        <w:t>fifths of respondents agree that they appreciate that in the current climate there are difficult budget decisions that the county council needs to make (82%).</w:t>
      </w:r>
    </w:p>
    <w:p w:rsidR="001C7946" w:rsidRPr="002C232B" w:rsidRDefault="001C7946" w:rsidP="006B249B">
      <w:pPr>
        <w:pStyle w:val="Wavebody"/>
        <w:rPr>
          <w:highlight w:val="yellow"/>
        </w:rPr>
      </w:pPr>
    </w:p>
    <w:p w:rsidR="00A02E54" w:rsidRPr="00A02E54" w:rsidRDefault="00A02E54" w:rsidP="00343155">
      <w:pPr>
        <w:pStyle w:val="ListParagraph"/>
        <w:keepNext/>
        <w:keepLines/>
        <w:numPr>
          <w:ilvl w:val="1"/>
          <w:numId w:val="8"/>
        </w:numPr>
        <w:spacing w:before="60" w:after="240"/>
        <w:contextualSpacing w:val="0"/>
        <w:outlineLvl w:val="2"/>
        <w:rPr>
          <w:rFonts w:ascii="Corbel" w:eastAsia="Times New Roman" w:hAnsi="Corbel"/>
          <w:b/>
          <w:bCs/>
          <w:i/>
          <w:vanish/>
          <w:color w:val="auto"/>
          <w:sz w:val="28"/>
          <w:szCs w:val="28"/>
          <w:lang w:eastAsia="en-GB"/>
        </w:rPr>
      </w:pPr>
      <w:bookmarkStart w:id="20" w:name="_Toc341438755"/>
      <w:bookmarkStart w:id="21" w:name="_Toc342049121"/>
      <w:bookmarkStart w:id="22" w:name="_Toc342049175"/>
      <w:bookmarkStart w:id="23" w:name="_Toc358123260"/>
      <w:bookmarkStart w:id="24" w:name="_Toc377544744"/>
      <w:bookmarkStart w:id="25" w:name="_Toc377545100"/>
      <w:bookmarkStart w:id="26" w:name="_Toc377545421"/>
      <w:bookmarkStart w:id="27" w:name="_Toc377634276"/>
      <w:bookmarkStart w:id="28" w:name="_Toc304384966"/>
      <w:bookmarkEnd w:id="20"/>
      <w:bookmarkEnd w:id="21"/>
      <w:bookmarkEnd w:id="22"/>
      <w:bookmarkEnd w:id="23"/>
      <w:bookmarkEnd w:id="24"/>
      <w:bookmarkEnd w:id="25"/>
      <w:bookmarkEnd w:id="26"/>
      <w:bookmarkEnd w:id="27"/>
    </w:p>
    <w:p w:rsidR="00FD12B3" w:rsidRDefault="00FD12B3" w:rsidP="00FD12B3">
      <w:pPr>
        <w:tabs>
          <w:tab w:val="left" w:pos="993"/>
        </w:tabs>
        <w:ind w:left="993"/>
        <w:rPr>
          <w:lang w:eastAsia="en-GB"/>
        </w:rPr>
      </w:pPr>
    </w:p>
    <w:p w:rsidR="000701AB" w:rsidRPr="000A1248" w:rsidRDefault="006B249B" w:rsidP="00691147">
      <w:pPr>
        <w:pStyle w:val="Heading1"/>
        <w:rPr>
          <w:sz w:val="28"/>
        </w:rPr>
      </w:pPr>
      <w:bookmarkStart w:id="29" w:name="_Toc311022203"/>
      <w:r>
        <w:br w:type="page"/>
      </w:r>
      <w:bookmarkStart w:id="30" w:name="_Toc377634277"/>
      <w:r w:rsidR="00A202D2">
        <w:t>Introduction</w:t>
      </w:r>
      <w:bookmarkEnd w:id="28"/>
      <w:bookmarkEnd w:id="29"/>
      <w:bookmarkEnd w:id="30"/>
    </w:p>
    <w:p w:rsidR="00A202D2" w:rsidRPr="00706AB4" w:rsidRDefault="00A202D2" w:rsidP="009F2283">
      <w:pPr>
        <w:pStyle w:val="Wavebody"/>
      </w:pPr>
      <w:r w:rsidRPr="00706AB4">
        <w:t xml:space="preserve">Lancashire County Council has used Living in Lancashire regularly since August 2001 (formerly known as Life in Lancashire). A panel of willing participants is recruited and is approached on a regular basis to seek their views on a range of topics and themes. Panel members are voluntary participants in the research they complete and no incentives are given for completion.  </w:t>
      </w:r>
    </w:p>
    <w:p w:rsidR="00A202D2" w:rsidRPr="00706AB4" w:rsidRDefault="00A202D2" w:rsidP="009F2283">
      <w:pPr>
        <w:pStyle w:val="Wavebody"/>
      </w:pPr>
      <w:r w:rsidRPr="00706AB4">
        <w:t>The panel has been designed to be a representative cross-section of the county’s population. The results for each survey are weighted in order to reflect the demographic profile of the county’s population.</w:t>
      </w:r>
    </w:p>
    <w:p w:rsidR="00A202D2" w:rsidRPr="00706AB4" w:rsidRDefault="00A202D2" w:rsidP="009F2283">
      <w:pPr>
        <w:pStyle w:val="Wavebody"/>
      </w:pPr>
      <w:r w:rsidRPr="00706AB4">
        <w:t>The panel provides access to a sufficiently large sample of the population so that reliable results can be reported at a county wide level. It also provides data at a number of sub-area and sub-group levels.</w:t>
      </w:r>
    </w:p>
    <w:p w:rsidR="00A202D2" w:rsidRPr="00706AB4" w:rsidRDefault="00A202D2" w:rsidP="009F2283">
      <w:pPr>
        <w:pStyle w:val="Wavebody"/>
      </w:pPr>
      <w:r w:rsidRPr="00706AB4">
        <w:t>Each wave of Living in Lancashire is themed. Firstly, it enables sufficient coverage on a particular topic to be able to provide insight into that topic. And secondly, it comes across better to the residents completing the questionnaires if there is a clear theme (or 2-3 clear themes) within each survey.</w:t>
      </w:r>
    </w:p>
    <w:p w:rsidR="00A202D2" w:rsidRPr="00706AB4" w:rsidRDefault="00A202D2" w:rsidP="009F2283">
      <w:pPr>
        <w:pStyle w:val="Wavebody"/>
      </w:pPr>
      <w:r w:rsidRPr="00706AB4">
        <w:t>The panel is refreshed periodically.  New members are recruited to the panel and some current members are retired on a random basis. This means that the panel remains fresh and i</w:t>
      </w:r>
      <w:r w:rsidR="00BD0D73">
        <w:t xml:space="preserve">s not subject to conditioning </w:t>
      </w:r>
      <w:proofErr w:type="spellStart"/>
      <w:r w:rsidR="00BD0D73">
        <w:t>ie</w:t>
      </w:r>
      <w:proofErr w:type="spellEnd"/>
      <w:r w:rsidRPr="00706AB4">
        <w:t xml:space="preserve"> the views of panel members become too informed with county council services to be representative of the population as a whole.  </w:t>
      </w:r>
    </w:p>
    <w:p w:rsidR="000701AB" w:rsidRDefault="000701AB" w:rsidP="00DB11EF">
      <w:pPr>
        <w:pStyle w:val="BodyText1"/>
        <w:rPr>
          <w:lang w:eastAsia="en-GB"/>
        </w:rPr>
      </w:pPr>
    </w:p>
    <w:p w:rsidR="00A202D2" w:rsidRPr="00A32A03" w:rsidRDefault="00A202D2" w:rsidP="00691147">
      <w:pPr>
        <w:pStyle w:val="Heading1"/>
      </w:pPr>
      <w:bookmarkStart w:id="31" w:name="_Toc59327273"/>
      <w:bookmarkStart w:id="32" w:name="_Toc304384967"/>
      <w:bookmarkStart w:id="33" w:name="_Toc311022204"/>
      <w:bookmarkStart w:id="34" w:name="_Toc377634278"/>
      <w:r w:rsidRPr="00A32A03">
        <w:t>Research objectives</w:t>
      </w:r>
      <w:bookmarkEnd w:id="31"/>
      <w:bookmarkEnd w:id="32"/>
      <w:bookmarkEnd w:id="33"/>
      <w:bookmarkEnd w:id="34"/>
    </w:p>
    <w:p w:rsidR="002C232B" w:rsidRDefault="002C232B" w:rsidP="002C232B">
      <w:pPr>
        <w:pStyle w:val="wavebody0"/>
      </w:pPr>
      <w:bookmarkStart w:id="35" w:name="_Toc304384968"/>
      <w:bookmarkStart w:id="36" w:name="_Toc311022205"/>
      <w:r>
        <w:t>The objective of this consultation is to obtain an indication of the service areas that residents believe should be budget priorities for the coming years.</w:t>
      </w:r>
    </w:p>
    <w:p w:rsidR="002C232B" w:rsidRDefault="002C232B" w:rsidP="002C232B">
      <w:pPr>
        <w:pStyle w:val="wavebody0"/>
      </w:pPr>
      <w:r>
        <w:t>This work follows on from previous yearly budget consultations that have taken place since 2003.</w:t>
      </w:r>
    </w:p>
    <w:p w:rsidR="00A202D2" w:rsidRPr="00614DD9" w:rsidRDefault="001031AE" w:rsidP="00691147">
      <w:pPr>
        <w:pStyle w:val="Heading1"/>
      </w:pPr>
      <w:r>
        <w:br w:type="page"/>
      </w:r>
      <w:bookmarkStart w:id="37" w:name="_Toc377634279"/>
      <w:r w:rsidR="00A202D2" w:rsidRPr="00614DD9">
        <w:t>Methodology</w:t>
      </w:r>
      <w:bookmarkEnd w:id="35"/>
      <w:bookmarkEnd w:id="36"/>
      <w:bookmarkEnd w:id="37"/>
    </w:p>
    <w:p w:rsidR="00A202D2" w:rsidRPr="00184F4B" w:rsidRDefault="00A202D2" w:rsidP="001031AE">
      <w:pPr>
        <w:pStyle w:val="Wavebody"/>
      </w:pPr>
      <w:r w:rsidRPr="00184F4B">
        <w:t xml:space="preserve">This wave of Living in Lancashire research was sent to </w:t>
      </w:r>
      <w:r w:rsidR="00560C82">
        <w:t>2,676</w:t>
      </w:r>
      <w:r w:rsidRPr="00184F4B">
        <w:t xml:space="preserve"> members of the panel</w:t>
      </w:r>
      <w:r w:rsidR="00560C82">
        <w:t xml:space="preserve"> between 15 November and 6 December</w:t>
      </w:r>
      <w:r w:rsidRPr="00184F4B">
        <w:t xml:space="preserve">. </w:t>
      </w:r>
      <w:r w:rsidR="00184F4B" w:rsidRPr="00184F4B">
        <w:t>The</w:t>
      </w:r>
      <w:r w:rsidRPr="00184F4B">
        <w:t xml:space="preserve"> closing date </w:t>
      </w:r>
      <w:r w:rsidR="00184F4B" w:rsidRPr="00184F4B">
        <w:t>was</w:t>
      </w:r>
      <w:r w:rsidRPr="00184F4B">
        <w:t xml:space="preserve"> </w:t>
      </w:r>
      <w:r w:rsidR="00560C82">
        <w:t>23</w:t>
      </w:r>
      <w:r w:rsidR="001F5240" w:rsidRPr="00184F4B">
        <w:t xml:space="preserve"> </w:t>
      </w:r>
      <w:r w:rsidR="00184F4B" w:rsidRPr="00184F4B">
        <w:t>December</w:t>
      </w:r>
      <w:r w:rsidR="00AD7BFB" w:rsidRPr="00184F4B">
        <w:t xml:space="preserve"> 201</w:t>
      </w:r>
      <w:r w:rsidR="001C0359" w:rsidRPr="00184F4B">
        <w:t>3</w:t>
      </w:r>
      <w:r w:rsidRPr="00184F4B">
        <w:t>.</w:t>
      </w:r>
    </w:p>
    <w:p w:rsidR="00A202D2" w:rsidRPr="00184F4B" w:rsidRDefault="00A202D2" w:rsidP="001031AE">
      <w:pPr>
        <w:pStyle w:val="Wavebody"/>
      </w:pPr>
      <w:r w:rsidRPr="00184F4B">
        <w:t xml:space="preserve">The survey was conducted through a postal questionnaire, and an online version of the same questionnaire being emailed to members who had previously requested to take part online. </w:t>
      </w:r>
      <w:r w:rsidRPr="00560C82">
        <w:t xml:space="preserve">The postal questionnaire was sent to </w:t>
      </w:r>
      <w:r w:rsidR="00560C82" w:rsidRPr="00560C82">
        <w:t>1,774</w:t>
      </w:r>
      <w:r w:rsidRPr="00560C82">
        <w:t xml:space="preserve"> members and the online questionnaire was sent to </w:t>
      </w:r>
      <w:r w:rsidR="00560C82" w:rsidRPr="00560C82">
        <w:t>902</w:t>
      </w:r>
      <w:r w:rsidRPr="00560C82">
        <w:t xml:space="preserve"> members.</w:t>
      </w:r>
      <w:r w:rsidRPr="00184F4B">
        <w:t xml:space="preserve"> </w:t>
      </w:r>
    </w:p>
    <w:p w:rsidR="007B14C3" w:rsidRPr="00614DD9" w:rsidRDefault="007B14C3" w:rsidP="001031AE">
      <w:pPr>
        <w:pStyle w:val="Wavebody"/>
      </w:pPr>
      <w:r w:rsidRPr="00560C82">
        <w:t>In total 1,</w:t>
      </w:r>
      <w:r w:rsidR="00614DD9" w:rsidRPr="00560C82">
        <w:t>266</w:t>
      </w:r>
      <w:r w:rsidRPr="00560C82">
        <w:t xml:space="preserve"> questionnaires were returned, giving an overall response rate of </w:t>
      </w:r>
      <w:r w:rsidR="00560C82" w:rsidRPr="00560C82">
        <w:t>47</w:t>
      </w:r>
      <w:r w:rsidRPr="00560C82">
        <w:t>%.</w:t>
      </w:r>
    </w:p>
    <w:p w:rsidR="00A202D2" w:rsidRDefault="00A202D2" w:rsidP="001031AE">
      <w:pPr>
        <w:pStyle w:val="Wavebody"/>
      </w:pPr>
      <w:r w:rsidRPr="00614DD9">
        <w:t xml:space="preserve">All data are weighted by age, ethnicity and district to reflect the Lancashire overall population, and figures are based on all respondents unless otherwise stated. The weighted responses have been scaled to match the effective response of </w:t>
      </w:r>
      <w:r w:rsidR="00614DD9" w:rsidRPr="00614DD9">
        <w:t>829</w:t>
      </w:r>
      <w:r w:rsidRPr="00614DD9">
        <w:t>, which is the equivalent size of the data if it had not been weighted and was a perfect random sample.</w:t>
      </w:r>
      <w:r w:rsidRPr="00706AB4">
        <w:t xml:space="preserve"> </w:t>
      </w:r>
    </w:p>
    <w:p w:rsidR="001031AE" w:rsidRDefault="001031AE" w:rsidP="001031AE">
      <w:pPr>
        <w:pStyle w:val="Wavebody"/>
      </w:pPr>
    </w:p>
    <w:p w:rsidR="00691147" w:rsidRPr="00691147" w:rsidRDefault="00691147" w:rsidP="00691147">
      <w:pPr>
        <w:pStyle w:val="ListParagraph"/>
        <w:numPr>
          <w:ilvl w:val="0"/>
          <w:numId w:val="18"/>
        </w:numPr>
        <w:tabs>
          <w:tab w:val="left" w:pos="993"/>
        </w:tabs>
        <w:spacing w:before="60" w:after="120"/>
        <w:contextualSpacing w:val="0"/>
        <w:outlineLvl w:val="1"/>
        <w:rPr>
          <w:rFonts w:ascii="Corbel" w:eastAsia="Times New Roman" w:hAnsi="Corbel"/>
          <w:b/>
          <w:bCs/>
          <w:vanish/>
          <w:color w:val="auto"/>
          <w:sz w:val="32"/>
          <w:szCs w:val="26"/>
        </w:rPr>
      </w:pPr>
      <w:bookmarkStart w:id="38" w:name="_Toc377634280"/>
      <w:bookmarkStart w:id="39" w:name="_Toc304384969"/>
      <w:bookmarkStart w:id="40" w:name="_Toc311022206"/>
      <w:bookmarkEnd w:id="38"/>
    </w:p>
    <w:p w:rsidR="00691147" w:rsidRPr="00691147" w:rsidRDefault="00691147" w:rsidP="00691147">
      <w:pPr>
        <w:pStyle w:val="ListParagraph"/>
        <w:numPr>
          <w:ilvl w:val="0"/>
          <w:numId w:val="18"/>
        </w:numPr>
        <w:tabs>
          <w:tab w:val="left" w:pos="993"/>
        </w:tabs>
        <w:spacing w:before="60" w:after="120"/>
        <w:contextualSpacing w:val="0"/>
        <w:outlineLvl w:val="1"/>
        <w:rPr>
          <w:rFonts w:ascii="Corbel" w:eastAsia="Times New Roman" w:hAnsi="Corbel"/>
          <w:b/>
          <w:bCs/>
          <w:vanish/>
          <w:color w:val="auto"/>
          <w:sz w:val="32"/>
          <w:szCs w:val="26"/>
        </w:rPr>
      </w:pPr>
      <w:bookmarkStart w:id="41" w:name="_Toc377634281"/>
      <w:bookmarkEnd w:id="41"/>
    </w:p>
    <w:p w:rsidR="00691147" w:rsidRPr="00691147" w:rsidRDefault="00691147" w:rsidP="00691147">
      <w:pPr>
        <w:pStyle w:val="ListParagraph"/>
        <w:numPr>
          <w:ilvl w:val="0"/>
          <w:numId w:val="18"/>
        </w:numPr>
        <w:tabs>
          <w:tab w:val="left" w:pos="993"/>
        </w:tabs>
        <w:spacing w:before="60" w:after="120"/>
        <w:contextualSpacing w:val="0"/>
        <w:outlineLvl w:val="1"/>
        <w:rPr>
          <w:rFonts w:ascii="Corbel" w:eastAsia="Times New Roman" w:hAnsi="Corbel"/>
          <w:b/>
          <w:bCs/>
          <w:vanish/>
          <w:color w:val="auto"/>
          <w:sz w:val="32"/>
          <w:szCs w:val="26"/>
        </w:rPr>
      </w:pPr>
      <w:bookmarkStart w:id="42" w:name="_Toc377634282"/>
      <w:bookmarkEnd w:id="42"/>
    </w:p>
    <w:p w:rsidR="00370B14" w:rsidRPr="00691147" w:rsidRDefault="00370B14" w:rsidP="00691147">
      <w:pPr>
        <w:pStyle w:val="Heading2"/>
      </w:pPr>
      <w:bookmarkStart w:id="43" w:name="_Toc377634283"/>
      <w:r w:rsidRPr="00691147">
        <w:t>Limitations</w:t>
      </w:r>
      <w:bookmarkEnd w:id="39"/>
      <w:bookmarkEnd w:id="40"/>
      <w:bookmarkEnd w:id="43"/>
    </w:p>
    <w:p w:rsidR="00370B14" w:rsidRDefault="00370B14" w:rsidP="001E1C95">
      <w:pPr>
        <w:pStyle w:val="Wavebody"/>
      </w:pPr>
      <w:r w:rsidRPr="00706AB4">
        <w:t xml:space="preserve">The table below shows the sample tolerances that apply to the results in this survey. Sampling tolerances vary with the size of the sample as well as the percentage results.  </w:t>
      </w:r>
    </w:p>
    <w:p w:rsidR="00AD7BFB" w:rsidRDefault="00AD7BFB" w:rsidP="001E1C95">
      <w:pPr>
        <w:pStyle w:val="Wavebody"/>
      </w:pPr>
    </w:p>
    <w:tbl>
      <w:tblPr>
        <w:tblW w:w="0" w:type="auto"/>
        <w:jc w:val="center"/>
        <w:tblInd w:w="2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578"/>
        <w:gridCol w:w="1307"/>
        <w:gridCol w:w="1417"/>
        <w:gridCol w:w="1418"/>
      </w:tblGrid>
      <w:tr w:rsidR="00AD7BFB" w:rsidRPr="00706AB4" w:rsidTr="00CB5D33">
        <w:trPr>
          <w:trHeight w:val="220"/>
          <w:jc w:val="center"/>
        </w:trPr>
        <w:tc>
          <w:tcPr>
            <w:tcW w:w="1578" w:type="dxa"/>
            <w:shd w:val="pct12" w:color="auto" w:fill="FFFFFF"/>
            <w:vAlign w:val="center"/>
          </w:tcPr>
          <w:p w:rsidR="00AD7BFB" w:rsidRPr="00370B14" w:rsidRDefault="00AD7BFB" w:rsidP="00CB5D33">
            <w:pPr>
              <w:spacing w:after="0"/>
              <w:jc w:val="center"/>
              <w:rPr>
                <w:b/>
                <w:snapToGrid w:val="0"/>
                <w:sz w:val="22"/>
                <w:szCs w:val="22"/>
              </w:rPr>
            </w:pPr>
            <w:r w:rsidRPr="00370B14">
              <w:rPr>
                <w:b/>
                <w:snapToGrid w:val="0"/>
                <w:sz w:val="22"/>
                <w:szCs w:val="22"/>
              </w:rPr>
              <w:t>Number of respondents</w:t>
            </w:r>
          </w:p>
        </w:tc>
        <w:tc>
          <w:tcPr>
            <w:tcW w:w="1307" w:type="dxa"/>
            <w:shd w:val="pct12" w:color="auto" w:fill="FFFFFF"/>
            <w:vAlign w:val="center"/>
          </w:tcPr>
          <w:p w:rsidR="00AD7BFB" w:rsidRPr="00370B14" w:rsidRDefault="00AD7BFB" w:rsidP="00CB5D33">
            <w:pPr>
              <w:spacing w:after="0"/>
              <w:jc w:val="center"/>
              <w:rPr>
                <w:b/>
                <w:snapToGrid w:val="0"/>
                <w:sz w:val="22"/>
                <w:szCs w:val="22"/>
              </w:rPr>
            </w:pPr>
            <w:r w:rsidRPr="00370B14">
              <w:rPr>
                <w:b/>
                <w:snapToGrid w:val="0"/>
                <w:sz w:val="22"/>
                <w:szCs w:val="22"/>
              </w:rPr>
              <w:t>50/50</w:t>
            </w:r>
          </w:p>
          <w:p w:rsidR="00AD7BFB" w:rsidRPr="00370B14" w:rsidRDefault="00AD7BFB" w:rsidP="00CB5D33">
            <w:pPr>
              <w:spacing w:after="0"/>
              <w:jc w:val="center"/>
              <w:rPr>
                <w:b/>
                <w:snapToGrid w:val="0"/>
                <w:sz w:val="22"/>
                <w:szCs w:val="22"/>
              </w:rPr>
            </w:pPr>
            <w:r w:rsidRPr="00370B14">
              <w:rPr>
                <w:b/>
                <w:snapToGrid w:val="0"/>
                <w:sz w:val="22"/>
                <w:szCs w:val="22"/>
              </w:rPr>
              <w:t>+ / -</w:t>
            </w:r>
          </w:p>
        </w:tc>
        <w:tc>
          <w:tcPr>
            <w:tcW w:w="1417" w:type="dxa"/>
            <w:shd w:val="pct12" w:color="auto" w:fill="FFFFFF"/>
            <w:vAlign w:val="center"/>
          </w:tcPr>
          <w:p w:rsidR="00AD7BFB" w:rsidRPr="00370B14" w:rsidRDefault="00AD7BFB" w:rsidP="00CB5D33">
            <w:pPr>
              <w:spacing w:after="0"/>
              <w:jc w:val="center"/>
              <w:rPr>
                <w:b/>
                <w:snapToGrid w:val="0"/>
                <w:sz w:val="22"/>
                <w:szCs w:val="22"/>
              </w:rPr>
            </w:pPr>
            <w:r w:rsidRPr="00370B14">
              <w:rPr>
                <w:b/>
                <w:snapToGrid w:val="0"/>
                <w:sz w:val="22"/>
                <w:szCs w:val="22"/>
              </w:rPr>
              <w:t>30/70</w:t>
            </w:r>
          </w:p>
          <w:p w:rsidR="00AD7BFB" w:rsidRPr="00370B14" w:rsidRDefault="00AD7BFB" w:rsidP="00CB5D33">
            <w:pPr>
              <w:spacing w:after="0"/>
              <w:jc w:val="center"/>
              <w:rPr>
                <w:b/>
                <w:snapToGrid w:val="0"/>
                <w:sz w:val="22"/>
                <w:szCs w:val="22"/>
              </w:rPr>
            </w:pPr>
            <w:r w:rsidRPr="00370B14">
              <w:rPr>
                <w:b/>
                <w:snapToGrid w:val="0"/>
                <w:sz w:val="22"/>
                <w:szCs w:val="22"/>
              </w:rPr>
              <w:t>+ / -</w:t>
            </w:r>
          </w:p>
        </w:tc>
        <w:tc>
          <w:tcPr>
            <w:tcW w:w="1418" w:type="dxa"/>
            <w:shd w:val="pct12" w:color="auto" w:fill="FFFFFF"/>
            <w:vAlign w:val="center"/>
          </w:tcPr>
          <w:p w:rsidR="00AD7BFB" w:rsidRPr="00370B14" w:rsidRDefault="00AD7BFB" w:rsidP="00CB5D33">
            <w:pPr>
              <w:spacing w:after="0"/>
              <w:jc w:val="center"/>
              <w:rPr>
                <w:b/>
                <w:snapToGrid w:val="0"/>
                <w:sz w:val="22"/>
                <w:szCs w:val="22"/>
              </w:rPr>
            </w:pPr>
            <w:r w:rsidRPr="00370B14">
              <w:rPr>
                <w:b/>
                <w:snapToGrid w:val="0"/>
                <w:sz w:val="22"/>
                <w:szCs w:val="22"/>
              </w:rPr>
              <w:t>10/90</w:t>
            </w:r>
          </w:p>
          <w:p w:rsidR="00AD7BFB" w:rsidRPr="00370B14" w:rsidRDefault="00AD7BFB" w:rsidP="00CB5D33">
            <w:pPr>
              <w:spacing w:after="0"/>
              <w:jc w:val="center"/>
              <w:rPr>
                <w:b/>
                <w:snapToGrid w:val="0"/>
                <w:sz w:val="22"/>
                <w:szCs w:val="22"/>
              </w:rPr>
            </w:pPr>
            <w:r w:rsidRPr="00370B14">
              <w:rPr>
                <w:b/>
                <w:snapToGrid w:val="0"/>
                <w:sz w:val="22"/>
                <w:szCs w:val="22"/>
              </w:rPr>
              <w:t>+ / -</w:t>
            </w:r>
          </w:p>
        </w:tc>
      </w:tr>
      <w:tr w:rsidR="00AD7BFB" w:rsidRPr="00706AB4" w:rsidTr="00CB5D33">
        <w:trPr>
          <w:trHeight w:val="282"/>
          <w:jc w:val="center"/>
        </w:trPr>
        <w:tc>
          <w:tcPr>
            <w:tcW w:w="1578" w:type="dxa"/>
          </w:tcPr>
          <w:p w:rsidR="00AD7BFB" w:rsidRPr="00370B14" w:rsidRDefault="00AD7BFB" w:rsidP="00CB5D33">
            <w:pPr>
              <w:spacing w:after="0"/>
              <w:jc w:val="center"/>
              <w:rPr>
                <w:snapToGrid w:val="0"/>
                <w:sz w:val="22"/>
                <w:szCs w:val="22"/>
              </w:rPr>
            </w:pPr>
            <w:r w:rsidRPr="00370B14">
              <w:rPr>
                <w:snapToGrid w:val="0"/>
                <w:sz w:val="22"/>
                <w:szCs w:val="22"/>
              </w:rPr>
              <w:t>50</w:t>
            </w:r>
          </w:p>
        </w:tc>
        <w:tc>
          <w:tcPr>
            <w:tcW w:w="1307" w:type="dxa"/>
          </w:tcPr>
          <w:p w:rsidR="00AD7BFB" w:rsidRPr="00370B14" w:rsidRDefault="00AD7BFB" w:rsidP="00CB5D33">
            <w:pPr>
              <w:spacing w:after="0"/>
              <w:jc w:val="center"/>
              <w:rPr>
                <w:snapToGrid w:val="0"/>
                <w:sz w:val="22"/>
                <w:szCs w:val="22"/>
              </w:rPr>
            </w:pPr>
            <w:r w:rsidRPr="00370B14">
              <w:rPr>
                <w:snapToGrid w:val="0"/>
                <w:sz w:val="22"/>
                <w:szCs w:val="22"/>
              </w:rPr>
              <w:t>14%</w:t>
            </w:r>
          </w:p>
        </w:tc>
        <w:tc>
          <w:tcPr>
            <w:tcW w:w="1417" w:type="dxa"/>
          </w:tcPr>
          <w:p w:rsidR="00AD7BFB" w:rsidRPr="00370B14" w:rsidRDefault="00AD7BFB" w:rsidP="00CB5D33">
            <w:pPr>
              <w:spacing w:after="0"/>
              <w:jc w:val="center"/>
              <w:rPr>
                <w:snapToGrid w:val="0"/>
                <w:sz w:val="22"/>
                <w:szCs w:val="22"/>
              </w:rPr>
            </w:pPr>
            <w:r w:rsidRPr="00370B14">
              <w:rPr>
                <w:snapToGrid w:val="0"/>
                <w:sz w:val="22"/>
                <w:szCs w:val="22"/>
              </w:rPr>
              <w:t>13%</w:t>
            </w:r>
          </w:p>
        </w:tc>
        <w:tc>
          <w:tcPr>
            <w:tcW w:w="1418" w:type="dxa"/>
          </w:tcPr>
          <w:p w:rsidR="00AD7BFB" w:rsidRPr="00370B14" w:rsidRDefault="00AD7BFB" w:rsidP="00CB5D33">
            <w:pPr>
              <w:spacing w:after="0"/>
              <w:jc w:val="center"/>
              <w:rPr>
                <w:snapToGrid w:val="0"/>
                <w:sz w:val="22"/>
                <w:szCs w:val="22"/>
              </w:rPr>
            </w:pPr>
            <w:r w:rsidRPr="00370B14">
              <w:rPr>
                <w:snapToGrid w:val="0"/>
                <w:sz w:val="22"/>
                <w:szCs w:val="22"/>
              </w:rPr>
              <w:t>8%</w:t>
            </w:r>
          </w:p>
        </w:tc>
      </w:tr>
      <w:tr w:rsidR="00AD7BFB" w:rsidRPr="00706AB4" w:rsidTr="00CB5D33">
        <w:trPr>
          <w:trHeight w:val="258"/>
          <w:jc w:val="center"/>
        </w:trPr>
        <w:tc>
          <w:tcPr>
            <w:tcW w:w="1578" w:type="dxa"/>
          </w:tcPr>
          <w:p w:rsidR="00AD7BFB" w:rsidRPr="00370B14" w:rsidRDefault="00AD7BFB" w:rsidP="00CB5D33">
            <w:pPr>
              <w:spacing w:after="0"/>
              <w:jc w:val="center"/>
              <w:rPr>
                <w:snapToGrid w:val="0"/>
                <w:sz w:val="22"/>
                <w:szCs w:val="22"/>
              </w:rPr>
            </w:pPr>
            <w:r w:rsidRPr="00370B14">
              <w:rPr>
                <w:snapToGrid w:val="0"/>
                <w:sz w:val="22"/>
                <w:szCs w:val="22"/>
              </w:rPr>
              <w:t>100</w:t>
            </w:r>
          </w:p>
        </w:tc>
        <w:tc>
          <w:tcPr>
            <w:tcW w:w="1307" w:type="dxa"/>
          </w:tcPr>
          <w:p w:rsidR="00AD7BFB" w:rsidRPr="00370B14" w:rsidRDefault="00AD7BFB" w:rsidP="00CB5D33">
            <w:pPr>
              <w:spacing w:after="0"/>
              <w:jc w:val="center"/>
              <w:rPr>
                <w:snapToGrid w:val="0"/>
                <w:sz w:val="22"/>
                <w:szCs w:val="22"/>
              </w:rPr>
            </w:pPr>
            <w:r w:rsidRPr="00370B14">
              <w:rPr>
                <w:snapToGrid w:val="0"/>
                <w:sz w:val="22"/>
                <w:szCs w:val="22"/>
              </w:rPr>
              <w:t>10%</w:t>
            </w:r>
          </w:p>
        </w:tc>
        <w:tc>
          <w:tcPr>
            <w:tcW w:w="1417" w:type="dxa"/>
          </w:tcPr>
          <w:p w:rsidR="00AD7BFB" w:rsidRPr="00370B14" w:rsidRDefault="00AD7BFB" w:rsidP="00CB5D33">
            <w:pPr>
              <w:spacing w:after="0"/>
              <w:jc w:val="center"/>
              <w:rPr>
                <w:snapToGrid w:val="0"/>
                <w:sz w:val="22"/>
                <w:szCs w:val="22"/>
              </w:rPr>
            </w:pPr>
            <w:r w:rsidRPr="00370B14">
              <w:rPr>
                <w:snapToGrid w:val="0"/>
                <w:sz w:val="22"/>
                <w:szCs w:val="22"/>
              </w:rPr>
              <w:t>9%</w:t>
            </w:r>
          </w:p>
        </w:tc>
        <w:tc>
          <w:tcPr>
            <w:tcW w:w="1418" w:type="dxa"/>
          </w:tcPr>
          <w:p w:rsidR="00AD7BFB" w:rsidRPr="00370B14" w:rsidRDefault="00AD7BFB" w:rsidP="00CB5D33">
            <w:pPr>
              <w:spacing w:after="0"/>
              <w:jc w:val="center"/>
              <w:rPr>
                <w:snapToGrid w:val="0"/>
                <w:sz w:val="22"/>
                <w:szCs w:val="22"/>
              </w:rPr>
            </w:pPr>
            <w:r w:rsidRPr="00370B14">
              <w:rPr>
                <w:snapToGrid w:val="0"/>
                <w:sz w:val="22"/>
                <w:szCs w:val="22"/>
              </w:rPr>
              <w:t>6%</w:t>
            </w:r>
          </w:p>
        </w:tc>
      </w:tr>
      <w:tr w:rsidR="00AD7BFB" w:rsidRPr="00706AB4" w:rsidTr="00CB5D33">
        <w:trPr>
          <w:trHeight w:val="276"/>
          <w:jc w:val="center"/>
        </w:trPr>
        <w:tc>
          <w:tcPr>
            <w:tcW w:w="1578" w:type="dxa"/>
          </w:tcPr>
          <w:p w:rsidR="00AD7BFB" w:rsidRPr="00370B14" w:rsidRDefault="00AD7BFB" w:rsidP="00CB5D33">
            <w:pPr>
              <w:spacing w:after="0"/>
              <w:jc w:val="center"/>
              <w:rPr>
                <w:snapToGrid w:val="0"/>
                <w:sz w:val="22"/>
                <w:szCs w:val="22"/>
              </w:rPr>
            </w:pPr>
            <w:r w:rsidRPr="00370B14">
              <w:rPr>
                <w:snapToGrid w:val="0"/>
                <w:sz w:val="22"/>
                <w:szCs w:val="22"/>
              </w:rPr>
              <w:t>200</w:t>
            </w:r>
          </w:p>
        </w:tc>
        <w:tc>
          <w:tcPr>
            <w:tcW w:w="1307" w:type="dxa"/>
          </w:tcPr>
          <w:p w:rsidR="00AD7BFB" w:rsidRPr="00370B14" w:rsidRDefault="00AD7BFB" w:rsidP="00CB5D33">
            <w:pPr>
              <w:spacing w:after="0"/>
              <w:jc w:val="center"/>
              <w:rPr>
                <w:snapToGrid w:val="0"/>
                <w:sz w:val="22"/>
                <w:szCs w:val="22"/>
              </w:rPr>
            </w:pPr>
            <w:r w:rsidRPr="00370B14">
              <w:rPr>
                <w:snapToGrid w:val="0"/>
                <w:sz w:val="22"/>
                <w:szCs w:val="22"/>
              </w:rPr>
              <w:t>7%</w:t>
            </w:r>
          </w:p>
        </w:tc>
        <w:tc>
          <w:tcPr>
            <w:tcW w:w="1417" w:type="dxa"/>
          </w:tcPr>
          <w:p w:rsidR="00AD7BFB" w:rsidRPr="00370B14" w:rsidRDefault="00AD7BFB" w:rsidP="00CB5D33">
            <w:pPr>
              <w:spacing w:after="0"/>
              <w:jc w:val="center"/>
              <w:rPr>
                <w:snapToGrid w:val="0"/>
                <w:sz w:val="22"/>
                <w:szCs w:val="22"/>
              </w:rPr>
            </w:pPr>
            <w:r w:rsidRPr="00370B14">
              <w:rPr>
                <w:snapToGrid w:val="0"/>
                <w:sz w:val="22"/>
                <w:szCs w:val="22"/>
              </w:rPr>
              <w:t>6%</w:t>
            </w:r>
          </w:p>
        </w:tc>
        <w:tc>
          <w:tcPr>
            <w:tcW w:w="1418" w:type="dxa"/>
          </w:tcPr>
          <w:p w:rsidR="00AD7BFB" w:rsidRPr="00370B14" w:rsidRDefault="00AD7BFB" w:rsidP="00CB5D33">
            <w:pPr>
              <w:spacing w:after="0"/>
              <w:jc w:val="center"/>
              <w:rPr>
                <w:snapToGrid w:val="0"/>
                <w:sz w:val="22"/>
                <w:szCs w:val="22"/>
              </w:rPr>
            </w:pPr>
            <w:r w:rsidRPr="00370B14">
              <w:rPr>
                <w:snapToGrid w:val="0"/>
                <w:sz w:val="22"/>
                <w:szCs w:val="22"/>
              </w:rPr>
              <w:t>4%</w:t>
            </w:r>
          </w:p>
        </w:tc>
      </w:tr>
      <w:tr w:rsidR="00AD7BFB" w:rsidRPr="00706AB4" w:rsidTr="00CB5D33">
        <w:trPr>
          <w:trHeight w:val="252"/>
          <w:jc w:val="center"/>
        </w:trPr>
        <w:tc>
          <w:tcPr>
            <w:tcW w:w="1578" w:type="dxa"/>
          </w:tcPr>
          <w:p w:rsidR="00AD7BFB" w:rsidRPr="00370B14" w:rsidRDefault="00AD7BFB" w:rsidP="00CB5D33">
            <w:pPr>
              <w:spacing w:after="0"/>
              <w:jc w:val="center"/>
              <w:rPr>
                <w:snapToGrid w:val="0"/>
                <w:sz w:val="22"/>
                <w:szCs w:val="22"/>
              </w:rPr>
            </w:pPr>
            <w:r w:rsidRPr="00370B14">
              <w:rPr>
                <w:snapToGrid w:val="0"/>
                <w:sz w:val="22"/>
                <w:szCs w:val="22"/>
              </w:rPr>
              <w:t>500</w:t>
            </w:r>
          </w:p>
        </w:tc>
        <w:tc>
          <w:tcPr>
            <w:tcW w:w="1307" w:type="dxa"/>
          </w:tcPr>
          <w:p w:rsidR="00AD7BFB" w:rsidRPr="00370B14" w:rsidRDefault="00AD7BFB" w:rsidP="00CB5D33">
            <w:pPr>
              <w:spacing w:after="0"/>
              <w:jc w:val="center"/>
              <w:rPr>
                <w:snapToGrid w:val="0"/>
                <w:sz w:val="22"/>
                <w:szCs w:val="22"/>
              </w:rPr>
            </w:pPr>
            <w:r w:rsidRPr="00370B14">
              <w:rPr>
                <w:snapToGrid w:val="0"/>
                <w:sz w:val="22"/>
                <w:szCs w:val="22"/>
              </w:rPr>
              <w:t>4%</w:t>
            </w:r>
          </w:p>
        </w:tc>
        <w:tc>
          <w:tcPr>
            <w:tcW w:w="1417" w:type="dxa"/>
          </w:tcPr>
          <w:p w:rsidR="00AD7BFB" w:rsidRPr="00370B14" w:rsidRDefault="00AD7BFB" w:rsidP="00CB5D33">
            <w:pPr>
              <w:spacing w:after="0"/>
              <w:jc w:val="center"/>
              <w:rPr>
                <w:snapToGrid w:val="0"/>
                <w:sz w:val="22"/>
                <w:szCs w:val="22"/>
              </w:rPr>
            </w:pPr>
            <w:r w:rsidRPr="00370B14">
              <w:rPr>
                <w:snapToGrid w:val="0"/>
                <w:sz w:val="22"/>
                <w:szCs w:val="22"/>
              </w:rPr>
              <w:t>4%</w:t>
            </w:r>
          </w:p>
        </w:tc>
        <w:tc>
          <w:tcPr>
            <w:tcW w:w="1418" w:type="dxa"/>
          </w:tcPr>
          <w:p w:rsidR="00AD7BFB" w:rsidRPr="00370B14" w:rsidRDefault="00AD7BFB" w:rsidP="00CB5D33">
            <w:pPr>
              <w:spacing w:after="0"/>
              <w:jc w:val="center"/>
              <w:rPr>
                <w:snapToGrid w:val="0"/>
                <w:sz w:val="22"/>
                <w:szCs w:val="22"/>
              </w:rPr>
            </w:pPr>
            <w:r w:rsidRPr="00370B14">
              <w:rPr>
                <w:snapToGrid w:val="0"/>
                <w:sz w:val="22"/>
                <w:szCs w:val="22"/>
              </w:rPr>
              <w:t>3%</w:t>
            </w:r>
          </w:p>
        </w:tc>
      </w:tr>
      <w:tr w:rsidR="00AD7BFB" w:rsidRPr="00706AB4" w:rsidTr="00CB5D33">
        <w:trPr>
          <w:trHeight w:val="228"/>
          <w:jc w:val="center"/>
        </w:trPr>
        <w:tc>
          <w:tcPr>
            <w:tcW w:w="1578" w:type="dxa"/>
          </w:tcPr>
          <w:p w:rsidR="00AD7BFB" w:rsidRPr="00370B14" w:rsidRDefault="00AD7BFB" w:rsidP="00CB5D33">
            <w:pPr>
              <w:spacing w:after="0"/>
              <w:jc w:val="center"/>
              <w:rPr>
                <w:snapToGrid w:val="0"/>
                <w:sz w:val="22"/>
                <w:szCs w:val="22"/>
              </w:rPr>
            </w:pPr>
            <w:r w:rsidRPr="00370B14">
              <w:rPr>
                <w:snapToGrid w:val="0"/>
                <w:sz w:val="22"/>
                <w:szCs w:val="22"/>
              </w:rPr>
              <w:t>1</w:t>
            </w:r>
            <w:r>
              <w:rPr>
                <w:snapToGrid w:val="0"/>
                <w:sz w:val="22"/>
                <w:szCs w:val="22"/>
              </w:rPr>
              <w:t>,</w:t>
            </w:r>
            <w:r w:rsidRPr="00370B14">
              <w:rPr>
                <w:snapToGrid w:val="0"/>
                <w:sz w:val="22"/>
                <w:szCs w:val="22"/>
              </w:rPr>
              <w:t>000</w:t>
            </w:r>
          </w:p>
        </w:tc>
        <w:tc>
          <w:tcPr>
            <w:tcW w:w="1307" w:type="dxa"/>
          </w:tcPr>
          <w:p w:rsidR="00AD7BFB" w:rsidRPr="00370B14" w:rsidRDefault="00AD7BFB" w:rsidP="00CB5D33">
            <w:pPr>
              <w:spacing w:after="0"/>
              <w:jc w:val="center"/>
              <w:rPr>
                <w:snapToGrid w:val="0"/>
                <w:sz w:val="22"/>
                <w:szCs w:val="22"/>
              </w:rPr>
            </w:pPr>
            <w:r w:rsidRPr="00370B14">
              <w:rPr>
                <w:snapToGrid w:val="0"/>
                <w:sz w:val="22"/>
                <w:szCs w:val="22"/>
              </w:rPr>
              <w:t>3%</w:t>
            </w:r>
          </w:p>
        </w:tc>
        <w:tc>
          <w:tcPr>
            <w:tcW w:w="1417" w:type="dxa"/>
          </w:tcPr>
          <w:p w:rsidR="00AD7BFB" w:rsidRPr="00370B14" w:rsidRDefault="00AD7BFB" w:rsidP="00CB5D33">
            <w:pPr>
              <w:spacing w:after="0"/>
              <w:jc w:val="center"/>
              <w:rPr>
                <w:snapToGrid w:val="0"/>
                <w:sz w:val="22"/>
                <w:szCs w:val="22"/>
              </w:rPr>
            </w:pPr>
            <w:r w:rsidRPr="00370B14">
              <w:rPr>
                <w:snapToGrid w:val="0"/>
                <w:sz w:val="22"/>
                <w:szCs w:val="22"/>
              </w:rPr>
              <w:t>3%</w:t>
            </w:r>
          </w:p>
        </w:tc>
        <w:tc>
          <w:tcPr>
            <w:tcW w:w="1418" w:type="dxa"/>
          </w:tcPr>
          <w:p w:rsidR="00AD7BFB" w:rsidRPr="00370B14" w:rsidRDefault="00AD7BFB" w:rsidP="00CB5D33">
            <w:pPr>
              <w:spacing w:after="0"/>
              <w:jc w:val="center"/>
              <w:rPr>
                <w:snapToGrid w:val="0"/>
                <w:sz w:val="22"/>
                <w:szCs w:val="22"/>
              </w:rPr>
            </w:pPr>
            <w:r w:rsidRPr="00370B14">
              <w:rPr>
                <w:snapToGrid w:val="0"/>
                <w:sz w:val="22"/>
                <w:szCs w:val="22"/>
              </w:rPr>
              <w:t>2%</w:t>
            </w:r>
          </w:p>
        </w:tc>
      </w:tr>
      <w:tr w:rsidR="00AD7BFB" w:rsidRPr="00706AB4" w:rsidTr="00CB5D33">
        <w:trPr>
          <w:trHeight w:val="208"/>
          <w:jc w:val="center"/>
        </w:trPr>
        <w:tc>
          <w:tcPr>
            <w:tcW w:w="1578" w:type="dxa"/>
          </w:tcPr>
          <w:p w:rsidR="00AD7BFB" w:rsidRPr="00370B14" w:rsidRDefault="00AD7BFB" w:rsidP="00CB5D33">
            <w:pPr>
              <w:spacing w:after="0"/>
              <w:jc w:val="center"/>
              <w:rPr>
                <w:snapToGrid w:val="0"/>
                <w:sz w:val="22"/>
                <w:szCs w:val="22"/>
              </w:rPr>
            </w:pPr>
            <w:r w:rsidRPr="00370B14">
              <w:rPr>
                <w:snapToGrid w:val="0"/>
                <w:sz w:val="22"/>
                <w:szCs w:val="22"/>
              </w:rPr>
              <w:t>2</w:t>
            </w:r>
            <w:r>
              <w:rPr>
                <w:snapToGrid w:val="0"/>
                <w:sz w:val="22"/>
                <w:szCs w:val="22"/>
              </w:rPr>
              <w:t>,</w:t>
            </w:r>
            <w:r w:rsidRPr="00370B14">
              <w:rPr>
                <w:snapToGrid w:val="0"/>
                <w:sz w:val="22"/>
                <w:szCs w:val="22"/>
              </w:rPr>
              <w:t>000</w:t>
            </w:r>
          </w:p>
        </w:tc>
        <w:tc>
          <w:tcPr>
            <w:tcW w:w="1307" w:type="dxa"/>
          </w:tcPr>
          <w:p w:rsidR="00AD7BFB" w:rsidRPr="00370B14" w:rsidRDefault="00AD7BFB" w:rsidP="00CB5D33">
            <w:pPr>
              <w:spacing w:after="0"/>
              <w:jc w:val="center"/>
              <w:rPr>
                <w:snapToGrid w:val="0"/>
                <w:sz w:val="22"/>
                <w:szCs w:val="22"/>
              </w:rPr>
            </w:pPr>
            <w:r w:rsidRPr="00370B14">
              <w:rPr>
                <w:snapToGrid w:val="0"/>
                <w:sz w:val="22"/>
                <w:szCs w:val="22"/>
              </w:rPr>
              <w:t>2%</w:t>
            </w:r>
          </w:p>
        </w:tc>
        <w:tc>
          <w:tcPr>
            <w:tcW w:w="1417" w:type="dxa"/>
          </w:tcPr>
          <w:p w:rsidR="00AD7BFB" w:rsidRPr="00370B14" w:rsidRDefault="00AD7BFB" w:rsidP="00CB5D33">
            <w:pPr>
              <w:spacing w:after="0"/>
              <w:jc w:val="center"/>
              <w:rPr>
                <w:snapToGrid w:val="0"/>
                <w:sz w:val="22"/>
                <w:szCs w:val="22"/>
              </w:rPr>
            </w:pPr>
            <w:r w:rsidRPr="00370B14">
              <w:rPr>
                <w:snapToGrid w:val="0"/>
                <w:sz w:val="22"/>
                <w:szCs w:val="22"/>
              </w:rPr>
              <w:t>2%</w:t>
            </w:r>
          </w:p>
        </w:tc>
        <w:tc>
          <w:tcPr>
            <w:tcW w:w="1418" w:type="dxa"/>
          </w:tcPr>
          <w:p w:rsidR="00AD7BFB" w:rsidRPr="00370B14" w:rsidRDefault="00AD7BFB" w:rsidP="00CB5D33">
            <w:pPr>
              <w:spacing w:after="0"/>
              <w:jc w:val="center"/>
              <w:rPr>
                <w:snapToGrid w:val="0"/>
                <w:sz w:val="22"/>
                <w:szCs w:val="22"/>
              </w:rPr>
            </w:pPr>
            <w:r w:rsidRPr="00370B14">
              <w:rPr>
                <w:snapToGrid w:val="0"/>
                <w:sz w:val="22"/>
                <w:szCs w:val="22"/>
              </w:rPr>
              <w:t>1%</w:t>
            </w:r>
          </w:p>
        </w:tc>
      </w:tr>
    </w:tbl>
    <w:p w:rsidR="00AD7BFB" w:rsidRPr="001E1C95" w:rsidRDefault="00AD7BFB" w:rsidP="001E1C95">
      <w:pPr>
        <w:pStyle w:val="Wavebody"/>
      </w:pPr>
    </w:p>
    <w:p w:rsidR="00370B14" w:rsidRPr="001E1C95" w:rsidRDefault="00370B14" w:rsidP="001E1C95">
      <w:pPr>
        <w:pStyle w:val="Wavebody"/>
        <w:rPr>
          <w:color w:val="auto"/>
        </w:rPr>
      </w:pPr>
      <w:r w:rsidRPr="001E1C95">
        <w:rPr>
          <w:color w:val="auto"/>
        </w:rPr>
        <w:t xml:space="preserve">On a question where 50% of the people in a sample of 1,000 respond with a particular answer, the chances are 95 out of 100 that the answer </w:t>
      </w:r>
      <w:r w:rsidR="00454B16" w:rsidRPr="001E1C95">
        <w:rPr>
          <w:color w:val="auto"/>
        </w:rPr>
        <w:t>would be between 47% and 53% (</w:t>
      </w:r>
      <w:proofErr w:type="spellStart"/>
      <w:r w:rsidR="00454B16" w:rsidRPr="001E1C95">
        <w:rPr>
          <w:color w:val="auto"/>
        </w:rPr>
        <w:t>ie</w:t>
      </w:r>
      <w:proofErr w:type="spellEnd"/>
      <w:r w:rsidRPr="001E1C95">
        <w:rPr>
          <w:color w:val="auto"/>
        </w:rPr>
        <w:t xml:space="preserve"> +/- 3%), versus a complete coverage of the entire Lancashire population using the same procedure.</w:t>
      </w:r>
    </w:p>
    <w:p w:rsidR="00370B14" w:rsidRPr="001E1C95" w:rsidRDefault="001E1C95" w:rsidP="001E1C95">
      <w:pPr>
        <w:pStyle w:val="Wavebody"/>
        <w:rPr>
          <w:color w:val="auto"/>
        </w:rPr>
      </w:pPr>
      <w:r w:rsidRPr="001E1C95">
        <w:rPr>
          <w:color w:val="auto"/>
        </w:rPr>
        <w:tab/>
      </w:r>
    </w:p>
    <w:p w:rsidR="00614DD9" w:rsidRDefault="00614DD9">
      <w:pPr>
        <w:spacing w:after="0"/>
        <w:rPr>
          <w:color w:val="auto"/>
        </w:rPr>
      </w:pPr>
      <w:r>
        <w:rPr>
          <w:color w:val="auto"/>
        </w:rPr>
        <w:br w:type="page"/>
      </w:r>
    </w:p>
    <w:p w:rsidR="00370B14" w:rsidRPr="001E1C95" w:rsidRDefault="00370B14" w:rsidP="001E1C95">
      <w:pPr>
        <w:pStyle w:val="Wavebody"/>
        <w:rPr>
          <w:color w:val="auto"/>
        </w:rPr>
      </w:pPr>
      <w:r w:rsidRPr="001E1C95">
        <w:rPr>
          <w:color w:val="auto"/>
        </w:rPr>
        <w:t>The following table shows what the percentage differences between two samples on a statistic must be greater than, to be statistically significant.</w:t>
      </w:r>
    </w:p>
    <w:p w:rsidR="00370B14" w:rsidRPr="001E1C95" w:rsidRDefault="00370B14" w:rsidP="001E1C95">
      <w:pPr>
        <w:pStyle w:val="Wavebody"/>
        <w:rPr>
          <w:color w:val="auto"/>
        </w:rPr>
      </w:pPr>
    </w:p>
    <w:tbl>
      <w:tblPr>
        <w:tblW w:w="0" w:type="auto"/>
        <w:jc w:val="center"/>
        <w:tblInd w:w="1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985"/>
        <w:gridCol w:w="1842"/>
        <w:gridCol w:w="1129"/>
        <w:gridCol w:w="1173"/>
        <w:gridCol w:w="1173"/>
      </w:tblGrid>
      <w:tr w:rsidR="00AD7BFB" w:rsidRPr="003E3C67" w:rsidTr="00CB5D33">
        <w:trPr>
          <w:trHeight w:val="318"/>
          <w:jc w:val="center"/>
        </w:trPr>
        <w:tc>
          <w:tcPr>
            <w:tcW w:w="1985" w:type="dxa"/>
            <w:shd w:val="pct15" w:color="auto" w:fill="FFFFFF"/>
            <w:vAlign w:val="center"/>
          </w:tcPr>
          <w:p w:rsidR="00AD7BFB" w:rsidRPr="003E3C67" w:rsidRDefault="00AD7BFB" w:rsidP="00CB5D33">
            <w:pPr>
              <w:spacing w:after="0"/>
              <w:jc w:val="center"/>
              <w:rPr>
                <w:b/>
                <w:snapToGrid w:val="0"/>
                <w:sz w:val="20"/>
              </w:rPr>
            </w:pPr>
            <w:r w:rsidRPr="003E3C67">
              <w:rPr>
                <w:b/>
                <w:snapToGrid w:val="0"/>
                <w:sz w:val="20"/>
              </w:rPr>
              <w:t>Size of sample A</w:t>
            </w:r>
          </w:p>
        </w:tc>
        <w:tc>
          <w:tcPr>
            <w:tcW w:w="1842" w:type="dxa"/>
            <w:shd w:val="pct15" w:color="auto" w:fill="FFFFFF"/>
            <w:vAlign w:val="center"/>
          </w:tcPr>
          <w:p w:rsidR="00AD7BFB" w:rsidRPr="003E3C67" w:rsidRDefault="00AD7BFB" w:rsidP="00CB5D33">
            <w:pPr>
              <w:spacing w:after="0"/>
              <w:jc w:val="center"/>
              <w:rPr>
                <w:b/>
                <w:snapToGrid w:val="0"/>
                <w:sz w:val="20"/>
              </w:rPr>
            </w:pPr>
            <w:r w:rsidRPr="003E3C67">
              <w:rPr>
                <w:b/>
                <w:snapToGrid w:val="0"/>
                <w:sz w:val="20"/>
              </w:rPr>
              <w:t>Size of sample B</w:t>
            </w:r>
          </w:p>
        </w:tc>
        <w:tc>
          <w:tcPr>
            <w:tcW w:w="1129" w:type="dxa"/>
            <w:shd w:val="pct15" w:color="auto" w:fill="FFFFFF"/>
            <w:vAlign w:val="center"/>
          </w:tcPr>
          <w:p w:rsidR="00AD7BFB" w:rsidRPr="003E3C67" w:rsidRDefault="00AD7BFB" w:rsidP="00CB5D33">
            <w:pPr>
              <w:spacing w:after="0"/>
              <w:jc w:val="center"/>
              <w:rPr>
                <w:b/>
                <w:snapToGrid w:val="0"/>
                <w:sz w:val="20"/>
              </w:rPr>
            </w:pPr>
            <w:r w:rsidRPr="003E3C67">
              <w:rPr>
                <w:b/>
                <w:snapToGrid w:val="0"/>
                <w:sz w:val="20"/>
              </w:rPr>
              <w:t>50/50</w:t>
            </w:r>
          </w:p>
        </w:tc>
        <w:tc>
          <w:tcPr>
            <w:tcW w:w="1173" w:type="dxa"/>
            <w:shd w:val="pct15" w:color="auto" w:fill="FFFFFF"/>
            <w:vAlign w:val="center"/>
          </w:tcPr>
          <w:p w:rsidR="00AD7BFB" w:rsidRPr="003E3C67" w:rsidRDefault="00AD7BFB" w:rsidP="00CB5D33">
            <w:pPr>
              <w:spacing w:after="0"/>
              <w:jc w:val="center"/>
              <w:rPr>
                <w:b/>
                <w:snapToGrid w:val="0"/>
                <w:sz w:val="20"/>
              </w:rPr>
            </w:pPr>
            <w:r w:rsidRPr="003E3C67">
              <w:rPr>
                <w:b/>
                <w:snapToGrid w:val="0"/>
                <w:sz w:val="20"/>
              </w:rPr>
              <w:t>70/30</w:t>
            </w:r>
          </w:p>
        </w:tc>
        <w:tc>
          <w:tcPr>
            <w:tcW w:w="1173" w:type="dxa"/>
            <w:shd w:val="pct15" w:color="auto" w:fill="FFFFFF"/>
            <w:vAlign w:val="center"/>
          </w:tcPr>
          <w:p w:rsidR="00AD7BFB" w:rsidRPr="003E3C67" w:rsidRDefault="00AD7BFB" w:rsidP="00CB5D33">
            <w:pPr>
              <w:spacing w:after="0"/>
              <w:jc w:val="center"/>
              <w:rPr>
                <w:b/>
                <w:snapToGrid w:val="0"/>
                <w:sz w:val="20"/>
              </w:rPr>
            </w:pPr>
            <w:r w:rsidRPr="003E3C67">
              <w:rPr>
                <w:b/>
                <w:snapToGrid w:val="0"/>
                <w:sz w:val="20"/>
              </w:rPr>
              <w:t>90/10</w:t>
            </w:r>
          </w:p>
        </w:tc>
      </w:tr>
      <w:tr w:rsidR="00AD7BFB" w:rsidRPr="0032553C" w:rsidTr="00CB5D33">
        <w:trPr>
          <w:trHeight w:val="337"/>
          <w:jc w:val="center"/>
        </w:trPr>
        <w:tc>
          <w:tcPr>
            <w:tcW w:w="1985" w:type="dxa"/>
            <w:vAlign w:val="bottom"/>
          </w:tcPr>
          <w:p w:rsidR="00AD7BFB" w:rsidRPr="003E3C67" w:rsidRDefault="00AD7BFB" w:rsidP="00CB5D33">
            <w:pPr>
              <w:spacing w:after="0"/>
              <w:jc w:val="center"/>
              <w:rPr>
                <w:rFonts w:cs="Arial"/>
                <w:sz w:val="22"/>
                <w:szCs w:val="22"/>
              </w:rPr>
            </w:pPr>
            <w:r w:rsidRPr="003E3C67">
              <w:rPr>
                <w:rFonts w:cs="Arial"/>
                <w:sz w:val="22"/>
                <w:szCs w:val="22"/>
              </w:rPr>
              <w:t>100</w:t>
            </w:r>
          </w:p>
        </w:tc>
        <w:tc>
          <w:tcPr>
            <w:tcW w:w="1842" w:type="dxa"/>
            <w:vAlign w:val="bottom"/>
          </w:tcPr>
          <w:p w:rsidR="00AD7BFB" w:rsidRPr="003E3C67" w:rsidRDefault="00AD7BFB" w:rsidP="00CB5D33">
            <w:pPr>
              <w:spacing w:after="0"/>
              <w:jc w:val="center"/>
              <w:rPr>
                <w:rFonts w:cs="Arial"/>
                <w:sz w:val="22"/>
                <w:szCs w:val="22"/>
              </w:rPr>
            </w:pPr>
            <w:r w:rsidRPr="003E3C67">
              <w:rPr>
                <w:rFonts w:cs="Arial"/>
                <w:sz w:val="22"/>
                <w:szCs w:val="22"/>
              </w:rPr>
              <w:t>100</w:t>
            </w:r>
          </w:p>
        </w:tc>
        <w:tc>
          <w:tcPr>
            <w:tcW w:w="1129" w:type="dxa"/>
            <w:vAlign w:val="bottom"/>
          </w:tcPr>
          <w:p w:rsidR="00AD7BFB" w:rsidRPr="003E3C67" w:rsidRDefault="00AD7BFB" w:rsidP="00CB5D33">
            <w:pPr>
              <w:spacing w:after="0"/>
              <w:jc w:val="center"/>
              <w:rPr>
                <w:rFonts w:cs="Arial"/>
                <w:sz w:val="22"/>
                <w:szCs w:val="22"/>
              </w:rPr>
            </w:pPr>
            <w:r w:rsidRPr="003E3C67">
              <w:rPr>
                <w:rFonts w:cs="Arial"/>
                <w:sz w:val="22"/>
                <w:szCs w:val="22"/>
              </w:rPr>
              <w:t>14%</w:t>
            </w:r>
          </w:p>
        </w:tc>
        <w:tc>
          <w:tcPr>
            <w:tcW w:w="1173" w:type="dxa"/>
            <w:vAlign w:val="bottom"/>
          </w:tcPr>
          <w:p w:rsidR="00AD7BFB" w:rsidRPr="003E3C67" w:rsidRDefault="00AD7BFB" w:rsidP="00CB5D33">
            <w:pPr>
              <w:spacing w:after="0"/>
              <w:jc w:val="center"/>
              <w:rPr>
                <w:rFonts w:cs="Arial"/>
                <w:sz w:val="22"/>
                <w:szCs w:val="22"/>
              </w:rPr>
            </w:pPr>
            <w:r w:rsidRPr="003E3C67">
              <w:rPr>
                <w:rFonts w:cs="Arial"/>
                <w:sz w:val="22"/>
                <w:szCs w:val="22"/>
              </w:rPr>
              <w:t>13%</w:t>
            </w:r>
          </w:p>
        </w:tc>
        <w:tc>
          <w:tcPr>
            <w:tcW w:w="1173" w:type="dxa"/>
            <w:vAlign w:val="bottom"/>
          </w:tcPr>
          <w:p w:rsidR="00AD7BFB" w:rsidRPr="003E3C67" w:rsidRDefault="00AD7BFB" w:rsidP="00CB5D33">
            <w:pPr>
              <w:spacing w:after="0"/>
              <w:jc w:val="center"/>
              <w:rPr>
                <w:rFonts w:cs="Arial"/>
                <w:sz w:val="22"/>
                <w:szCs w:val="22"/>
              </w:rPr>
            </w:pPr>
            <w:r w:rsidRPr="003E3C67">
              <w:rPr>
                <w:rFonts w:cs="Arial"/>
                <w:sz w:val="22"/>
                <w:szCs w:val="22"/>
              </w:rPr>
              <w:t>8%</w:t>
            </w:r>
          </w:p>
        </w:tc>
      </w:tr>
      <w:tr w:rsidR="00AD7BFB" w:rsidRPr="0032553C" w:rsidTr="00CB5D33">
        <w:trPr>
          <w:trHeight w:val="337"/>
          <w:jc w:val="center"/>
        </w:trPr>
        <w:tc>
          <w:tcPr>
            <w:tcW w:w="1985" w:type="dxa"/>
            <w:vAlign w:val="bottom"/>
          </w:tcPr>
          <w:p w:rsidR="00AD7BFB" w:rsidRPr="003E3C67" w:rsidRDefault="00AD7BFB" w:rsidP="00CB5D33">
            <w:pPr>
              <w:spacing w:after="0"/>
              <w:jc w:val="center"/>
              <w:rPr>
                <w:rFonts w:cs="Arial"/>
                <w:sz w:val="22"/>
                <w:szCs w:val="22"/>
              </w:rPr>
            </w:pPr>
            <w:r w:rsidRPr="003E3C67">
              <w:rPr>
                <w:rFonts w:cs="Arial"/>
                <w:sz w:val="22"/>
                <w:szCs w:val="22"/>
              </w:rPr>
              <w:t>100</w:t>
            </w:r>
          </w:p>
        </w:tc>
        <w:tc>
          <w:tcPr>
            <w:tcW w:w="1842" w:type="dxa"/>
            <w:vAlign w:val="bottom"/>
          </w:tcPr>
          <w:p w:rsidR="00AD7BFB" w:rsidRPr="003E3C67" w:rsidRDefault="00AD7BFB" w:rsidP="00CB5D33">
            <w:pPr>
              <w:spacing w:after="0"/>
              <w:jc w:val="center"/>
              <w:rPr>
                <w:rFonts w:cs="Arial"/>
                <w:sz w:val="22"/>
                <w:szCs w:val="22"/>
              </w:rPr>
            </w:pPr>
            <w:r w:rsidRPr="003E3C67">
              <w:rPr>
                <w:rFonts w:cs="Arial"/>
                <w:sz w:val="22"/>
                <w:szCs w:val="22"/>
              </w:rPr>
              <w:t>200</w:t>
            </w:r>
          </w:p>
        </w:tc>
        <w:tc>
          <w:tcPr>
            <w:tcW w:w="1129" w:type="dxa"/>
            <w:vAlign w:val="bottom"/>
          </w:tcPr>
          <w:p w:rsidR="00AD7BFB" w:rsidRPr="003E3C67" w:rsidRDefault="00AD7BFB" w:rsidP="00CB5D33">
            <w:pPr>
              <w:spacing w:after="0"/>
              <w:jc w:val="center"/>
              <w:rPr>
                <w:rFonts w:cs="Arial"/>
                <w:sz w:val="22"/>
                <w:szCs w:val="22"/>
              </w:rPr>
            </w:pPr>
            <w:r w:rsidRPr="003E3C67">
              <w:rPr>
                <w:rFonts w:cs="Arial"/>
                <w:sz w:val="22"/>
                <w:szCs w:val="22"/>
              </w:rPr>
              <w:t>12%</w:t>
            </w:r>
          </w:p>
        </w:tc>
        <w:tc>
          <w:tcPr>
            <w:tcW w:w="1173" w:type="dxa"/>
            <w:vAlign w:val="bottom"/>
          </w:tcPr>
          <w:p w:rsidR="00AD7BFB" w:rsidRPr="003E3C67" w:rsidRDefault="00AD7BFB" w:rsidP="00CB5D33">
            <w:pPr>
              <w:spacing w:after="0"/>
              <w:jc w:val="center"/>
              <w:rPr>
                <w:rFonts w:cs="Arial"/>
                <w:sz w:val="22"/>
                <w:szCs w:val="22"/>
              </w:rPr>
            </w:pPr>
            <w:r w:rsidRPr="003E3C67">
              <w:rPr>
                <w:rFonts w:cs="Arial"/>
                <w:sz w:val="22"/>
                <w:szCs w:val="22"/>
              </w:rPr>
              <w:t>11%</w:t>
            </w:r>
          </w:p>
        </w:tc>
        <w:tc>
          <w:tcPr>
            <w:tcW w:w="1173" w:type="dxa"/>
            <w:vAlign w:val="bottom"/>
          </w:tcPr>
          <w:p w:rsidR="00AD7BFB" w:rsidRPr="003E3C67" w:rsidRDefault="00AD7BFB" w:rsidP="00CB5D33">
            <w:pPr>
              <w:spacing w:after="0"/>
              <w:jc w:val="center"/>
              <w:rPr>
                <w:rFonts w:cs="Arial"/>
                <w:sz w:val="22"/>
                <w:szCs w:val="22"/>
              </w:rPr>
            </w:pPr>
            <w:r w:rsidRPr="003E3C67">
              <w:rPr>
                <w:rFonts w:cs="Arial"/>
                <w:sz w:val="22"/>
                <w:szCs w:val="22"/>
              </w:rPr>
              <w:t>7%</w:t>
            </w:r>
          </w:p>
        </w:tc>
      </w:tr>
      <w:tr w:rsidR="00AD7BFB" w:rsidRPr="00B0568C" w:rsidTr="00CB5D33">
        <w:trPr>
          <w:trHeight w:val="337"/>
          <w:jc w:val="center"/>
        </w:trPr>
        <w:tc>
          <w:tcPr>
            <w:tcW w:w="1985" w:type="dxa"/>
            <w:vAlign w:val="bottom"/>
          </w:tcPr>
          <w:p w:rsidR="00AD7BFB" w:rsidRPr="003E3C67" w:rsidRDefault="00AD7BFB" w:rsidP="00CB5D33">
            <w:pPr>
              <w:spacing w:after="0"/>
              <w:jc w:val="center"/>
              <w:rPr>
                <w:rFonts w:cs="Arial"/>
                <w:sz w:val="22"/>
                <w:szCs w:val="22"/>
              </w:rPr>
            </w:pPr>
            <w:r w:rsidRPr="003E3C67">
              <w:rPr>
                <w:rFonts w:cs="Arial"/>
                <w:sz w:val="22"/>
                <w:szCs w:val="22"/>
              </w:rPr>
              <w:t>500</w:t>
            </w:r>
          </w:p>
        </w:tc>
        <w:tc>
          <w:tcPr>
            <w:tcW w:w="1842" w:type="dxa"/>
            <w:vAlign w:val="bottom"/>
          </w:tcPr>
          <w:p w:rsidR="00AD7BFB" w:rsidRPr="003E3C67" w:rsidRDefault="00AD7BFB" w:rsidP="00CB5D33">
            <w:pPr>
              <w:spacing w:after="0"/>
              <w:jc w:val="center"/>
              <w:rPr>
                <w:rFonts w:cs="Arial"/>
                <w:sz w:val="22"/>
                <w:szCs w:val="22"/>
              </w:rPr>
            </w:pPr>
            <w:r w:rsidRPr="003E3C67">
              <w:rPr>
                <w:rFonts w:cs="Arial"/>
                <w:sz w:val="22"/>
                <w:szCs w:val="22"/>
              </w:rPr>
              <w:t>1</w:t>
            </w:r>
            <w:r>
              <w:rPr>
                <w:rFonts w:cs="Arial"/>
                <w:sz w:val="22"/>
                <w:szCs w:val="22"/>
              </w:rPr>
              <w:t>,</w:t>
            </w:r>
            <w:r w:rsidRPr="003E3C67">
              <w:rPr>
                <w:rFonts w:cs="Arial"/>
                <w:sz w:val="22"/>
                <w:szCs w:val="22"/>
              </w:rPr>
              <w:t>000</w:t>
            </w:r>
          </w:p>
        </w:tc>
        <w:tc>
          <w:tcPr>
            <w:tcW w:w="1129" w:type="dxa"/>
            <w:vAlign w:val="bottom"/>
          </w:tcPr>
          <w:p w:rsidR="00AD7BFB" w:rsidRPr="003E3C67" w:rsidRDefault="00AD7BFB" w:rsidP="00CB5D33">
            <w:pPr>
              <w:spacing w:after="0"/>
              <w:jc w:val="center"/>
              <w:rPr>
                <w:rFonts w:cs="Arial"/>
                <w:sz w:val="22"/>
                <w:szCs w:val="22"/>
              </w:rPr>
            </w:pPr>
            <w:r w:rsidRPr="003E3C67">
              <w:rPr>
                <w:rFonts w:cs="Arial"/>
                <w:sz w:val="22"/>
                <w:szCs w:val="22"/>
              </w:rPr>
              <w:t>5%</w:t>
            </w:r>
          </w:p>
        </w:tc>
        <w:tc>
          <w:tcPr>
            <w:tcW w:w="1173" w:type="dxa"/>
            <w:vAlign w:val="bottom"/>
          </w:tcPr>
          <w:p w:rsidR="00AD7BFB" w:rsidRPr="003E3C67" w:rsidRDefault="00AD7BFB" w:rsidP="00CB5D33">
            <w:pPr>
              <w:spacing w:after="0"/>
              <w:jc w:val="center"/>
              <w:rPr>
                <w:rFonts w:cs="Arial"/>
                <w:sz w:val="22"/>
                <w:szCs w:val="22"/>
              </w:rPr>
            </w:pPr>
            <w:r w:rsidRPr="003E3C67">
              <w:rPr>
                <w:rFonts w:cs="Arial"/>
                <w:sz w:val="22"/>
                <w:szCs w:val="22"/>
              </w:rPr>
              <w:t>5%</w:t>
            </w:r>
          </w:p>
        </w:tc>
        <w:tc>
          <w:tcPr>
            <w:tcW w:w="1173" w:type="dxa"/>
            <w:vAlign w:val="bottom"/>
          </w:tcPr>
          <w:p w:rsidR="00AD7BFB" w:rsidRPr="003E3C67" w:rsidRDefault="00AD7BFB" w:rsidP="00CB5D33">
            <w:pPr>
              <w:spacing w:after="0"/>
              <w:jc w:val="center"/>
              <w:rPr>
                <w:rFonts w:cs="Arial"/>
                <w:sz w:val="22"/>
                <w:szCs w:val="22"/>
              </w:rPr>
            </w:pPr>
            <w:r w:rsidRPr="003E3C67">
              <w:rPr>
                <w:rFonts w:cs="Arial"/>
                <w:sz w:val="22"/>
                <w:szCs w:val="22"/>
              </w:rPr>
              <w:t>3%</w:t>
            </w:r>
          </w:p>
        </w:tc>
      </w:tr>
      <w:tr w:rsidR="00AD7BFB" w:rsidRPr="00B0568C" w:rsidTr="00CB5D33">
        <w:trPr>
          <w:trHeight w:val="337"/>
          <w:jc w:val="center"/>
        </w:trPr>
        <w:tc>
          <w:tcPr>
            <w:tcW w:w="1985" w:type="dxa"/>
            <w:vAlign w:val="bottom"/>
          </w:tcPr>
          <w:p w:rsidR="00AD7BFB" w:rsidRPr="003E3C67" w:rsidRDefault="00AD7BFB" w:rsidP="00CB5D33">
            <w:pPr>
              <w:spacing w:after="0"/>
              <w:jc w:val="center"/>
              <w:rPr>
                <w:rFonts w:cs="Arial"/>
                <w:sz w:val="22"/>
                <w:szCs w:val="22"/>
              </w:rPr>
            </w:pPr>
            <w:r w:rsidRPr="003E3C67">
              <w:rPr>
                <w:rFonts w:cs="Arial"/>
                <w:sz w:val="22"/>
                <w:szCs w:val="22"/>
              </w:rPr>
              <w:t>2</w:t>
            </w:r>
            <w:r>
              <w:rPr>
                <w:rFonts w:cs="Arial"/>
                <w:sz w:val="22"/>
                <w:szCs w:val="22"/>
              </w:rPr>
              <w:t>,</w:t>
            </w:r>
            <w:r w:rsidRPr="003E3C67">
              <w:rPr>
                <w:rFonts w:cs="Arial"/>
                <w:sz w:val="22"/>
                <w:szCs w:val="22"/>
              </w:rPr>
              <w:t>000</w:t>
            </w:r>
          </w:p>
        </w:tc>
        <w:tc>
          <w:tcPr>
            <w:tcW w:w="1842" w:type="dxa"/>
            <w:vAlign w:val="bottom"/>
          </w:tcPr>
          <w:p w:rsidR="00AD7BFB" w:rsidRPr="003E3C67" w:rsidRDefault="00AD7BFB" w:rsidP="00CB5D33">
            <w:pPr>
              <w:spacing w:after="0"/>
              <w:jc w:val="center"/>
              <w:rPr>
                <w:rFonts w:cs="Arial"/>
                <w:sz w:val="22"/>
                <w:szCs w:val="22"/>
              </w:rPr>
            </w:pPr>
            <w:r w:rsidRPr="003E3C67">
              <w:rPr>
                <w:rFonts w:cs="Arial"/>
                <w:sz w:val="22"/>
                <w:szCs w:val="22"/>
              </w:rPr>
              <w:t>2</w:t>
            </w:r>
            <w:r>
              <w:rPr>
                <w:rFonts w:cs="Arial"/>
                <w:sz w:val="22"/>
                <w:szCs w:val="22"/>
              </w:rPr>
              <w:t>,</w:t>
            </w:r>
            <w:r w:rsidRPr="003E3C67">
              <w:rPr>
                <w:rFonts w:cs="Arial"/>
                <w:sz w:val="22"/>
                <w:szCs w:val="22"/>
              </w:rPr>
              <w:t>000</w:t>
            </w:r>
          </w:p>
        </w:tc>
        <w:tc>
          <w:tcPr>
            <w:tcW w:w="1129" w:type="dxa"/>
            <w:vAlign w:val="bottom"/>
          </w:tcPr>
          <w:p w:rsidR="00AD7BFB" w:rsidRPr="003E3C67" w:rsidRDefault="00AD7BFB" w:rsidP="00CB5D33">
            <w:pPr>
              <w:spacing w:after="0"/>
              <w:jc w:val="center"/>
              <w:rPr>
                <w:rFonts w:cs="Arial"/>
                <w:sz w:val="22"/>
                <w:szCs w:val="22"/>
              </w:rPr>
            </w:pPr>
            <w:r w:rsidRPr="003E3C67">
              <w:rPr>
                <w:rFonts w:cs="Arial"/>
                <w:sz w:val="22"/>
                <w:szCs w:val="22"/>
              </w:rPr>
              <w:t>3%</w:t>
            </w:r>
          </w:p>
        </w:tc>
        <w:tc>
          <w:tcPr>
            <w:tcW w:w="1173" w:type="dxa"/>
            <w:vAlign w:val="bottom"/>
          </w:tcPr>
          <w:p w:rsidR="00AD7BFB" w:rsidRPr="003E3C67" w:rsidRDefault="00AD7BFB" w:rsidP="00CB5D33">
            <w:pPr>
              <w:spacing w:after="0"/>
              <w:jc w:val="center"/>
              <w:rPr>
                <w:rFonts w:cs="Arial"/>
                <w:sz w:val="22"/>
                <w:szCs w:val="22"/>
              </w:rPr>
            </w:pPr>
            <w:r w:rsidRPr="003E3C67">
              <w:rPr>
                <w:rFonts w:cs="Arial"/>
                <w:sz w:val="22"/>
                <w:szCs w:val="22"/>
              </w:rPr>
              <w:t>3%</w:t>
            </w:r>
          </w:p>
        </w:tc>
        <w:tc>
          <w:tcPr>
            <w:tcW w:w="1173" w:type="dxa"/>
            <w:vAlign w:val="bottom"/>
          </w:tcPr>
          <w:p w:rsidR="00AD7BFB" w:rsidRPr="003E3C67" w:rsidRDefault="00AD7BFB" w:rsidP="00CB5D33">
            <w:pPr>
              <w:spacing w:after="0"/>
              <w:jc w:val="center"/>
              <w:rPr>
                <w:rFonts w:cs="Arial"/>
                <w:sz w:val="22"/>
                <w:szCs w:val="22"/>
              </w:rPr>
            </w:pPr>
            <w:r w:rsidRPr="003E3C67">
              <w:rPr>
                <w:rFonts w:cs="Arial"/>
                <w:sz w:val="22"/>
                <w:szCs w:val="22"/>
              </w:rPr>
              <w:t>2%</w:t>
            </w:r>
          </w:p>
        </w:tc>
      </w:tr>
    </w:tbl>
    <w:p w:rsidR="00370B14" w:rsidRPr="00370B14" w:rsidRDefault="00370B14" w:rsidP="00370B14">
      <w:pPr>
        <w:spacing w:after="0"/>
        <w:ind w:left="432"/>
        <w:jc w:val="both"/>
        <w:rPr>
          <w:sz w:val="8"/>
          <w:szCs w:val="8"/>
        </w:rPr>
      </w:pPr>
    </w:p>
    <w:p w:rsidR="00370B14" w:rsidRDefault="00370B14" w:rsidP="00AD7BFB">
      <w:pPr>
        <w:spacing w:after="0"/>
        <w:ind w:left="851"/>
        <w:jc w:val="both"/>
        <w:rPr>
          <w:sz w:val="16"/>
        </w:rPr>
      </w:pPr>
      <w:r>
        <w:rPr>
          <w:sz w:val="16"/>
        </w:rPr>
        <w:t>(Confidence interval at 95% certainty for a comparison of two samples)</w:t>
      </w:r>
    </w:p>
    <w:p w:rsidR="00370B14" w:rsidRPr="001E1C95" w:rsidRDefault="00370B14" w:rsidP="001E1C95">
      <w:pPr>
        <w:pStyle w:val="Wavebody"/>
      </w:pPr>
    </w:p>
    <w:p w:rsidR="00370B14" w:rsidRDefault="00370B14" w:rsidP="001E1C95">
      <w:pPr>
        <w:pStyle w:val="Wavebody"/>
      </w:pPr>
      <w:r>
        <w:t>For example, where the size of sample A and sample B is 2,000 responses in each and the percentage result in each group you are comparing is around 50% in each category, the difference in the results needs to be more than 3% to be statistically significant. This is to say that the difference in the results of the two groups of people is not due to chance alone and is a statistically valid difference (</w:t>
      </w:r>
      <w:proofErr w:type="spellStart"/>
      <w:r>
        <w:t>eg</w:t>
      </w:r>
      <w:proofErr w:type="spellEnd"/>
      <w:r>
        <w:t xml:space="preserve"> of opinion, service usage). </w:t>
      </w:r>
    </w:p>
    <w:p w:rsidR="00370B14" w:rsidRDefault="00370B14" w:rsidP="001E1C95">
      <w:pPr>
        <w:pStyle w:val="Wavebody"/>
      </w:pPr>
      <w:r>
        <w:t>For each question in the survey, comparisons have been made between different sub-groups of respondents (</w:t>
      </w:r>
      <w:proofErr w:type="spellStart"/>
      <w:r>
        <w:t>eg</w:t>
      </w:r>
      <w:proofErr w:type="spellEnd"/>
      <w:r>
        <w:t xml:space="preserve"> age, gender, disability, ethnicity, geographic area) to look for statistically significant differences in opinion. Statistically valid differences between sub-groups are described in the main body of the report.</w:t>
      </w:r>
    </w:p>
    <w:p w:rsidR="00370B14" w:rsidRDefault="00370B14" w:rsidP="001E1C95">
      <w:pPr>
        <w:pStyle w:val="Wavebody"/>
      </w:pPr>
      <w:r>
        <w:t xml:space="preserve">In charts or tables where responses do not add up to 100%, this is due to multiple responses or computer rounding. </w:t>
      </w:r>
    </w:p>
    <w:p w:rsidR="0026378E" w:rsidRPr="00691147" w:rsidRDefault="001E1C95" w:rsidP="00691147">
      <w:pPr>
        <w:pStyle w:val="Heading1"/>
      </w:pPr>
      <w:bookmarkStart w:id="44" w:name="_Toc304384970"/>
      <w:bookmarkStart w:id="45" w:name="_Toc311022207"/>
      <w:r>
        <w:br w:type="page"/>
      </w:r>
      <w:bookmarkStart w:id="46" w:name="_Toc377634284"/>
      <w:r w:rsidR="00370B14" w:rsidRPr="00691147">
        <w:t>Main research findings</w:t>
      </w:r>
      <w:bookmarkEnd w:id="44"/>
      <w:bookmarkEnd w:id="45"/>
      <w:bookmarkEnd w:id="46"/>
      <w:r w:rsidR="00370B14" w:rsidRPr="00691147">
        <w:t xml:space="preserve"> </w:t>
      </w:r>
    </w:p>
    <w:p w:rsidR="00691147" w:rsidRPr="00691147" w:rsidRDefault="00691147" w:rsidP="00691147">
      <w:pPr>
        <w:pStyle w:val="ListParagraph"/>
        <w:numPr>
          <w:ilvl w:val="0"/>
          <w:numId w:val="21"/>
        </w:numPr>
        <w:tabs>
          <w:tab w:val="left" w:pos="1134"/>
        </w:tabs>
        <w:spacing w:before="60" w:after="120"/>
        <w:contextualSpacing w:val="0"/>
        <w:outlineLvl w:val="1"/>
        <w:rPr>
          <w:rFonts w:ascii="Corbel" w:eastAsia="Times New Roman" w:hAnsi="Corbel"/>
          <w:b/>
          <w:bCs/>
          <w:vanish/>
          <w:color w:val="auto"/>
          <w:sz w:val="32"/>
          <w:szCs w:val="26"/>
        </w:rPr>
      </w:pPr>
      <w:bookmarkStart w:id="47" w:name="_Toc377634285"/>
      <w:bookmarkStart w:id="48" w:name="_Toc280196312"/>
      <w:bookmarkStart w:id="49" w:name="_Toc343244247"/>
      <w:bookmarkEnd w:id="47"/>
    </w:p>
    <w:p w:rsidR="00691147" w:rsidRPr="00691147" w:rsidRDefault="00691147" w:rsidP="00691147">
      <w:pPr>
        <w:pStyle w:val="ListParagraph"/>
        <w:numPr>
          <w:ilvl w:val="0"/>
          <w:numId w:val="21"/>
        </w:numPr>
        <w:tabs>
          <w:tab w:val="left" w:pos="1134"/>
        </w:tabs>
        <w:spacing w:before="60" w:after="120"/>
        <w:contextualSpacing w:val="0"/>
        <w:outlineLvl w:val="1"/>
        <w:rPr>
          <w:rFonts w:ascii="Corbel" w:eastAsia="Times New Roman" w:hAnsi="Corbel"/>
          <w:b/>
          <w:bCs/>
          <w:vanish/>
          <w:color w:val="auto"/>
          <w:sz w:val="32"/>
          <w:szCs w:val="26"/>
        </w:rPr>
      </w:pPr>
      <w:bookmarkStart w:id="50" w:name="_Toc377634286"/>
      <w:bookmarkEnd w:id="50"/>
    </w:p>
    <w:p w:rsidR="002C232B" w:rsidRPr="001859A6" w:rsidRDefault="002C232B" w:rsidP="00691147">
      <w:pPr>
        <w:pStyle w:val="Heading2"/>
        <w:numPr>
          <w:ilvl w:val="1"/>
          <w:numId w:val="21"/>
        </w:numPr>
        <w:ind w:left="426" w:firstLine="0"/>
      </w:pPr>
      <w:bookmarkStart w:id="51" w:name="_Toc377634287"/>
      <w:r w:rsidRPr="001859A6">
        <w:t xml:space="preserve">Priorities for </w:t>
      </w:r>
      <w:bookmarkEnd w:id="48"/>
      <w:bookmarkEnd w:id="49"/>
      <w:r w:rsidR="00850CCC">
        <w:t>spending</w:t>
      </w:r>
      <w:bookmarkEnd w:id="51"/>
    </w:p>
    <w:p w:rsidR="002C232B" w:rsidRPr="00614DD9" w:rsidRDefault="002C232B" w:rsidP="002C232B">
      <w:pPr>
        <w:pStyle w:val="BodyTextIndent2"/>
        <w:jc w:val="left"/>
      </w:pPr>
      <w:r w:rsidRPr="00614DD9">
        <w:t>The budget consultation questionnaire gave the proportion of spending and the actual expenditure on a wide range of services Lancashire County Council provides. It gave detail</w:t>
      </w:r>
      <w:r w:rsidR="00614DD9" w:rsidRPr="00614DD9">
        <w:t xml:space="preserve">s on </w:t>
      </w:r>
      <w:r w:rsidR="00584303">
        <w:t xml:space="preserve">county </w:t>
      </w:r>
      <w:r w:rsidR="00614DD9" w:rsidRPr="00614DD9">
        <w:t>council expenditure in 2013/14</w:t>
      </w:r>
      <w:r w:rsidRPr="00614DD9">
        <w:t xml:space="preserve"> and the sources of </w:t>
      </w:r>
      <w:r w:rsidR="00584303">
        <w:t xml:space="preserve">county </w:t>
      </w:r>
      <w:r w:rsidRPr="00614DD9">
        <w:t xml:space="preserve">council finances. It also informed panel members of the county council plans for the following years. </w:t>
      </w:r>
    </w:p>
    <w:p w:rsidR="002C232B" w:rsidRPr="002C232B" w:rsidRDefault="002C232B" w:rsidP="002C232B">
      <w:pPr>
        <w:pStyle w:val="BodyTextIndent2"/>
        <w:jc w:val="left"/>
        <w:rPr>
          <w:highlight w:val="yellow"/>
        </w:rPr>
      </w:pPr>
    </w:p>
    <w:p w:rsidR="002C232B" w:rsidRPr="00614DD9" w:rsidRDefault="002C232B" w:rsidP="002C232B">
      <w:pPr>
        <w:pStyle w:val="BodyTextIndent2"/>
        <w:jc w:val="left"/>
      </w:pPr>
      <w:r w:rsidRPr="00614DD9">
        <w:t>Panel members were then given a list of county council services and asked which three or four should be the highest spending priorities for the coming years. These</w:t>
      </w:r>
      <w:r w:rsidR="00584303">
        <w:t xml:space="preserve"> priorities are shown on chart one</w:t>
      </w:r>
      <w:r w:rsidRPr="00614DD9">
        <w:t>.</w:t>
      </w:r>
    </w:p>
    <w:p w:rsidR="002C232B" w:rsidRPr="002C232B" w:rsidRDefault="002C232B" w:rsidP="002C232B">
      <w:pPr>
        <w:pStyle w:val="BodyTextIndent2"/>
        <w:jc w:val="left"/>
        <w:rPr>
          <w:highlight w:val="yellow"/>
        </w:rPr>
      </w:pPr>
    </w:p>
    <w:p w:rsidR="002C232B" w:rsidRPr="0093747E" w:rsidRDefault="002C232B" w:rsidP="002C232B">
      <w:pPr>
        <w:pStyle w:val="BodyTextIndent2"/>
        <w:jc w:val="left"/>
      </w:pPr>
      <w:r w:rsidRPr="0093747E">
        <w:rPr>
          <w:b/>
        </w:rPr>
        <w:t>Services for older people</w:t>
      </w:r>
      <w:r w:rsidR="00584303">
        <w:t xml:space="preserve"> </w:t>
      </w:r>
      <w:r w:rsidRPr="0093747E">
        <w:t xml:space="preserve">including care in their own homes and </w:t>
      </w:r>
      <w:r w:rsidR="00584303">
        <w:t>in residential homes (60%)</w:t>
      </w:r>
      <w:r w:rsidRPr="0093747E">
        <w:t xml:space="preserve">, </w:t>
      </w:r>
      <w:r w:rsidR="0093747E" w:rsidRPr="0093747E">
        <w:rPr>
          <w:b/>
        </w:rPr>
        <w:t>repairing roads and bridges</w:t>
      </w:r>
      <w:r w:rsidR="00584303">
        <w:t xml:space="preserve"> </w:t>
      </w:r>
      <w:r w:rsidR="0093747E" w:rsidRPr="0093747E">
        <w:t>including emergencies and fixing potholes</w:t>
      </w:r>
      <w:r w:rsidR="00584303">
        <w:t xml:space="preserve"> (45%</w:t>
      </w:r>
      <w:r w:rsidR="0093747E" w:rsidRPr="0093747E">
        <w:t xml:space="preserve">) and </w:t>
      </w:r>
      <w:r w:rsidRPr="0093747E">
        <w:rPr>
          <w:b/>
        </w:rPr>
        <w:t>primary and secondary education</w:t>
      </w:r>
      <w:r w:rsidRPr="0093747E">
        <w:t xml:space="preserve"> </w:t>
      </w:r>
      <w:r w:rsidR="00584303">
        <w:t xml:space="preserve">(45%) </w:t>
      </w:r>
      <w:r w:rsidR="0093747E" w:rsidRPr="0093747E">
        <w:t>are the highest priorities</w:t>
      </w:r>
      <w:r w:rsidRPr="0093747E">
        <w:t xml:space="preserve">. </w:t>
      </w:r>
    </w:p>
    <w:p w:rsidR="002C232B" w:rsidRPr="002C232B" w:rsidRDefault="002C232B" w:rsidP="002C232B">
      <w:pPr>
        <w:pStyle w:val="BodyTextIndent2"/>
        <w:jc w:val="left"/>
        <w:rPr>
          <w:highlight w:val="yellow"/>
        </w:rPr>
      </w:pPr>
    </w:p>
    <w:p w:rsidR="002C232B" w:rsidRPr="00510D59" w:rsidRDefault="00510D59" w:rsidP="002C232B">
      <w:pPr>
        <w:pStyle w:val="BodyTextIndent2"/>
        <w:jc w:val="left"/>
      </w:pPr>
      <w:r w:rsidRPr="00510D59">
        <w:rPr>
          <w:b/>
        </w:rPr>
        <w:t>Crime prevention</w:t>
      </w:r>
      <w:r w:rsidR="00584303">
        <w:rPr>
          <w:b/>
        </w:rPr>
        <w:t>,</w:t>
      </w:r>
      <w:r w:rsidRPr="00510D59">
        <w:rPr>
          <w:b/>
        </w:rPr>
        <w:t xml:space="preserve"> </w:t>
      </w:r>
      <w:r w:rsidRPr="00510D59">
        <w:t>working with partner organisations to help prevent crime and disorder and reduce the fear of crime</w:t>
      </w:r>
      <w:r w:rsidR="00584303">
        <w:t xml:space="preserve"> (39%</w:t>
      </w:r>
      <w:r w:rsidRPr="00510D59">
        <w:t>)</w:t>
      </w:r>
      <w:r w:rsidR="002C232B" w:rsidRPr="00510D59">
        <w:t xml:space="preserve"> and </w:t>
      </w:r>
      <w:r w:rsidRPr="00510D59">
        <w:rPr>
          <w:b/>
        </w:rPr>
        <w:t>children's social care</w:t>
      </w:r>
      <w:r w:rsidR="00584303">
        <w:rPr>
          <w:b/>
        </w:rPr>
        <w:t>,</w:t>
      </w:r>
      <w:r w:rsidRPr="00510D59">
        <w:rPr>
          <w:b/>
        </w:rPr>
        <w:t xml:space="preserve"> </w:t>
      </w:r>
      <w:r w:rsidR="00584303">
        <w:t>protecting vulnerable children (33%)</w:t>
      </w:r>
      <w:r w:rsidR="002C232B" w:rsidRPr="00510D59">
        <w:rPr>
          <w:b/>
        </w:rPr>
        <w:t xml:space="preserve"> </w:t>
      </w:r>
      <w:r w:rsidR="002C232B" w:rsidRPr="00510D59">
        <w:t>are the nex</w:t>
      </w:r>
      <w:r w:rsidRPr="00510D59">
        <w:t>t highest priorities</w:t>
      </w:r>
      <w:r w:rsidR="002C232B" w:rsidRPr="00510D59">
        <w:t>.</w:t>
      </w:r>
    </w:p>
    <w:p w:rsidR="002C232B" w:rsidRPr="002C232B" w:rsidRDefault="002C232B" w:rsidP="002C232B">
      <w:pPr>
        <w:pStyle w:val="BodyTextIndent2"/>
        <w:jc w:val="left"/>
        <w:rPr>
          <w:highlight w:val="yellow"/>
        </w:rPr>
      </w:pPr>
    </w:p>
    <w:p w:rsidR="002C232B" w:rsidRPr="00510D59" w:rsidRDefault="002C232B" w:rsidP="002C232B">
      <w:pPr>
        <w:pStyle w:val="BodyTextIndent2"/>
        <w:jc w:val="left"/>
      </w:pPr>
      <w:r w:rsidRPr="00510D59">
        <w:t>The same options were given on t</w:t>
      </w:r>
      <w:r w:rsidR="00510D59" w:rsidRPr="00510D59">
        <w:t>he budget questionnaires in 2012</w:t>
      </w:r>
      <w:r w:rsidRPr="00510D59">
        <w:t xml:space="preserve"> and 201</w:t>
      </w:r>
      <w:r w:rsidR="00510D59" w:rsidRPr="00510D59">
        <w:t>1</w:t>
      </w:r>
      <w:r w:rsidRPr="00510D59">
        <w:t xml:space="preserve">, enabling the priorities to be compared over time. </w:t>
      </w:r>
      <w:r w:rsidR="00FD604B">
        <w:t xml:space="preserve">The current results </w:t>
      </w:r>
      <w:r w:rsidR="00510D59" w:rsidRPr="00510D59">
        <w:t>are broadly similar to those in the last two years, showing the public’s spending priorities are remaining fairly consistent over time.</w:t>
      </w:r>
      <w:r w:rsidR="00510D59">
        <w:t xml:space="preserve"> </w:t>
      </w:r>
    </w:p>
    <w:p w:rsidR="002C232B" w:rsidRPr="002C232B" w:rsidRDefault="002C232B" w:rsidP="002C232B">
      <w:pPr>
        <w:rPr>
          <w:highlight w:val="yellow"/>
        </w:rPr>
      </w:pPr>
    </w:p>
    <w:p w:rsidR="00691147" w:rsidRPr="00691147" w:rsidRDefault="00691147" w:rsidP="00691147">
      <w:pPr>
        <w:pStyle w:val="ListParagraph"/>
        <w:keepNext/>
        <w:keepLines/>
        <w:numPr>
          <w:ilvl w:val="0"/>
          <w:numId w:val="8"/>
        </w:numPr>
        <w:tabs>
          <w:tab w:val="left" w:pos="1134"/>
        </w:tabs>
        <w:spacing w:before="60" w:after="240"/>
        <w:contextualSpacing w:val="0"/>
        <w:outlineLvl w:val="2"/>
        <w:rPr>
          <w:rFonts w:ascii="Corbel" w:eastAsia="Times New Roman" w:hAnsi="Corbel"/>
          <w:b/>
          <w:bCs/>
          <w:i/>
          <w:vanish/>
          <w:color w:val="auto"/>
          <w:sz w:val="28"/>
          <w:szCs w:val="28"/>
        </w:rPr>
      </w:pPr>
      <w:bookmarkStart w:id="52" w:name="_Toc377634288"/>
      <w:bookmarkStart w:id="53" w:name="_Toc280196313"/>
      <w:bookmarkStart w:id="54" w:name="_Toc343244248"/>
      <w:bookmarkEnd w:id="52"/>
    </w:p>
    <w:p w:rsidR="00691147" w:rsidRPr="00691147" w:rsidRDefault="00691147" w:rsidP="00691147">
      <w:pPr>
        <w:pStyle w:val="ListParagraph"/>
        <w:keepNext/>
        <w:keepLines/>
        <w:numPr>
          <w:ilvl w:val="0"/>
          <w:numId w:val="8"/>
        </w:numPr>
        <w:tabs>
          <w:tab w:val="left" w:pos="1134"/>
        </w:tabs>
        <w:spacing w:before="60" w:after="240"/>
        <w:contextualSpacing w:val="0"/>
        <w:outlineLvl w:val="2"/>
        <w:rPr>
          <w:rFonts w:ascii="Corbel" w:eastAsia="Times New Roman" w:hAnsi="Corbel"/>
          <w:b/>
          <w:bCs/>
          <w:i/>
          <w:vanish/>
          <w:color w:val="auto"/>
          <w:sz w:val="28"/>
          <w:szCs w:val="28"/>
        </w:rPr>
      </w:pPr>
      <w:bookmarkStart w:id="55" w:name="_Toc377634289"/>
      <w:bookmarkEnd w:id="55"/>
    </w:p>
    <w:p w:rsidR="00691147" w:rsidRPr="00691147" w:rsidRDefault="00691147" w:rsidP="00691147">
      <w:pPr>
        <w:pStyle w:val="ListParagraph"/>
        <w:keepNext/>
        <w:keepLines/>
        <w:numPr>
          <w:ilvl w:val="0"/>
          <w:numId w:val="8"/>
        </w:numPr>
        <w:tabs>
          <w:tab w:val="left" w:pos="1134"/>
        </w:tabs>
        <w:spacing w:before="60" w:after="240"/>
        <w:contextualSpacing w:val="0"/>
        <w:outlineLvl w:val="2"/>
        <w:rPr>
          <w:rFonts w:ascii="Corbel" w:eastAsia="Times New Roman" w:hAnsi="Corbel"/>
          <w:b/>
          <w:bCs/>
          <w:i/>
          <w:vanish/>
          <w:color w:val="auto"/>
          <w:sz w:val="28"/>
          <w:szCs w:val="28"/>
        </w:rPr>
      </w:pPr>
      <w:bookmarkStart w:id="56" w:name="_Toc377634290"/>
      <w:bookmarkEnd w:id="56"/>
    </w:p>
    <w:p w:rsidR="00691147" w:rsidRPr="00691147" w:rsidRDefault="00691147" w:rsidP="00691147">
      <w:pPr>
        <w:pStyle w:val="ListParagraph"/>
        <w:keepNext/>
        <w:keepLines/>
        <w:numPr>
          <w:ilvl w:val="0"/>
          <w:numId w:val="8"/>
        </w:numPr>
        <w:tabs>
          <w:tab w:val="left" w:pos="1134"/>
        </w:tabs>
        <w:spacing w:before="60" w:after="240"/>
        <w:contextualSpacing w:val="0"/>
        <w:outlineLvl w:val="2"/>
        <w:rPr>
          <w:rFonts w:ascii="Corbel" w:eastAsia="Times New Roman" w:hAnsi="Corbel"/>
          <w:b/>
          <w:bCs/>
          <w:i/>
          <w:vanish/>
          <w:color w:val="auto"/>
          <w:sz w:val="28"/>
          <w:szCs w:val="28"/>
        </w:rPr>
      </w:pPr>
      <w:bookmarkStart w:id="57" w:name="_Toc377634291"/>
      <w:bookmarkEnd w:id="57"/>
    </w:p>
    <w:p w:rsidR="00691147" w:rsidRPr="00691147" w:rsidRDefault="00691147" w:rsidP="00691147">
      <w:pPr>
        <w:pStyle w:val="ListParagraph"/>
        <w:keepNext/>
        <w:keepLines/>
        <w:numPr>
          <w:ilvl w:val="1"/>
          <w:numId w:val="8"/>
        </w:numPr>
        <w:tabs>
          <w:tab w:val="left" w:pos="1134"/>
        </w:tabs>
        <w:spacing w:before="60" w:after="240"/>
        <w:contextualSpacing w:val="0"/>
        <w:outlineLvl w:val="2"/>
        <w:rPr>
          <w:rFonts w:ascii="Corbel" w:eastAsia="Times New Roman" w:hAnsi="Corbel"/>
          <w:b/>
          <w:bCs/>
          <w:i/>
          <w:vanish/>
          <w:color w:val="auto"/>
          <w:sz w:val="28"/>
          <w:szCs w:val="28"/>
        </w:rPr>
      </w:pPr>
      <w:bookmarkStart w:id="58" w:name="_Toc377634292"/>
      <w:bookmarkEnd w:id="58"/>
    </w:p>
    <w:p w:rsidR="002C232B" w:rsidRPr="00691147" w:rsidRDefault="002C232B" w:rsidP="00691147">
      <w:pPr>
        <w:pStyle w:val="Heading3"/>
      </w:pPr>
      <w:bookmarkStart w:id="59" w:name="_Toc377634293"/>
      <w:r w:rsidRPr="00691147">
        <w:t>Individual services - high priority for spending</w:t>
      </w:r>
      <w:bookmarkEnd w:id="53"/>
      <w:bookmarkEnd w:id="54"/>
      <w:bookmarkEnd w:id="59"/>
    </w:p>
    <w:p w:rsidR="002C232B" w:rsidRPr="0026649F" w:rsidRDefault="002C232B" w:rsidP="002C232B">
      <w:pPr>
        <w:ind w:left="426"/>
        <w:rPr>
          <w:b/>
        </w:rPr>
      </w:pPr>
      <w:r w:rsidRPr="0026649F">
        <w:rPr>
          <w:b/>
        </w:rPr>
        <w:t xml:space="preserve">Services for older people </w:t>
      </w:r>
    </w:p>
    <w:p w:rsidR="002C232B" w:rsidRDefault="00584303" w:rsidP="002C232B">
      <w:pPr>
        <w:ind w:left="426"/>
      </w:pPr>
      <w:r>
        <w:t>S</w:t>
      </w:r>
      <w:r w:rsidR="002C232B" w:rsidRPr="0026649F">
        <w:t xml:space="preserve">ervices for older people are a higher priority for </w:t>
      </w:r>
      <w:r w:rsidR="0026649F" w:rsidRPr="0026649F">
        <w:t>those aged 60 years and over (68%)</w:t>
      </w:r>
      <w:r w:rsidR="002C232B" w:rsidRPr="0026649F">
        <w:t xml:space="preserve">. </w:t>
      </w:r>
    </w:p>
    <w:p w:rsidR="0026649F" w:rsidRDefault="0026649F" w:rsidP="0026649F">
      <w:pPr>
        <w:ind w:left="426"/>
        <w:rPr>
          <w:b/>
        </w:rPr>
      </w:pPr>
    </w:p>
    <w:p w:rsidR="0026649F" w:rsidRPr="0026649F" w:rsidRDefault="0026649F" w:rsidP="0026649F">
      <w:pPr>
        <w:ind w:left="426"/>
        <w:rPr>
          <w:b/>
        </w:rPr>
      </w:pPr>
      <w:r>
        <w:rPr>
          <w:b/>
        </w:rPr>
        <w:t>Repairing roads and bridges</w:t>
      </w:r>
    </w:p>
    <w:p w:rsidR="0026649F" w:rsidRDefault="0026649F" w:rsidP="0026649F">
      <w:pPr>
        <w:ind w:left="426"/>
      </w:pPr>
      <w:r>
        <w:t>Repairing roads and bridges is a high priority for all groups. It is the highest priority for respondents in Wyre (63%).</w:t>
      </w:r>
    </w:p>
    <w:p w:rsidR="0026649F" w:rsidRPr="0026649F" w:rsidRDefault="0026649F" w:rsidP="002C232B">
      <w:pPr>
        <w:ind w:left="426"/>
        <w:rPr>
          <w:b/>
        </w:rPr>
      </w:pPr>
    </w:p>
    <w:p w:rsidR="002C232B" w:rsidRPr="002C232B" w:rsidRDefault="002C232B" w:rsidP="002C232B">
      <w:pPr>
        <w:pStyle w:val="BodyTextIndent2"/>
        <w:jc w:val="left"/>
        <w:rPr>
          <w:highlight w:val="yellow"/>
        </w:rPr>
      </w:pPr>
    </w:p>
    <w:p w:rsidR="00EA0195" w:rsidRDefault="00EA0195">
      <w:pPr>
        <w:spacing w:after="0"/>
        <w:rPr>
          <w:b/>
          <w:snapToGrid w:val="0"/>
          <w:color w:val="auto"/>
        </w:rPr>
      </w:pPr>
      <w:r>
        <w:rPr>
          <w:b/>
          <w:snapToGrid w:val="0"/>
          <w:color w:val="auto"/>
        </w:rPr>
        <w:br w:type="page"/>
      </w:r>
    </w:p>
    <w:p w:rsidR="002C232B" w:rsidRPr="0026649F" w:rsidRDefault="002C232B" w:rsidP="002C232B">
      <w:pPr>
        <w:ind w:left="426"/>
        <w:rPr>
          <w:b/>
          <w:color w:val="auto"/>
        </w:rPr>
      </w:pPr>
      <w:r w:rsidRPr="0026649F">
        <w:rPr>
          <w:b/>
          <w:snapToGrid w:val="0"/>
          <w:color w:val="auto"/>
        </w:rPr>
        <w:t xml:space="preserve">Primary and secondary education </w:t>
      </w:r>
    </w:p>
    <w:p w:rsidR="002C232B" w:rsidRPr="00FD604B" w:rsidRDefault="002C232B" w:rsidP="002C232B">
      <w:pPr>
        <w:pStyle w:val="BodyTextIndent2"/>
        <w:jc w:val="left"/>
      </w:pPr>
      <w:r w:rsidRPr="00FD604B">
        <w:t xml:space="preserve">Primary and secondary education is </w:t>
      </w:r>
      <w:r w:rsidR="0026649F" w:rsidRPr="00FD604B">
        <w:t>a high</w:t>
      </w:r>
      <w:r w:rsidRPr="00FD604B">
        <w:t xml:space="preserve"> priority f</w:t>
      </w:r>
      <w:r w:rsidR="0026649F" w:rsidRPr="00FD604B">
        <w:t>or those aged 25 to 44 years (52%)</w:t>
      </w:r>
      <w:r w:rsidRPr="00FD604B">
        <w:t>. While still a priority, it is less importan</w:t>
      </w:r>
      <w:r w:rsidR="0026649F" w:rsidRPr="00FD604B">
        <w:t>t for those aged 45-59 years (43</w:t>
      </w:r>
      <w:r w:rsidRPr="00FD604B">
        <w:t>%) or 60 years or</w:t>
      </w:r>
      <w:r w:rsidR="0026649F" w:rsidRPr="00FD604B">
        <w:t xml:space="preserve"> over (40</w:t>
      </w:r>
      <w:r w:rsidRPr="00FD604B">
        <w:t>%). Also, where respondents have children in the house</w:t>
      </w:r>
      <w:r w:rsidR="00FD604B" w:rsidRPr="00FD604B">
        <w:t>hold it is a higher priority (62</w:t>
      </w:r>
      <w:r w:rsidRPr="00FD604B">
        <w:t>%) compared to households without children (39%).</w:t>
      </w:r>
    </w:p>
    <w:p w:rsidR="00FD604B" w:rsidRDefault="00FD604B" w:rsidP="002C232B">
      <w:pPr>
        <w:ind w:left="426"/>
        <w:rPr>
          <w:b/>
          <w:snapToGrid w:val="0"/>
          <w:highlight w:val="yellow"/>
        </w:rPr>
      </w:pPr>
    </w:p>
    <w:p w:rsidR="002C232B" w:rsidRPr="00FD604B" w:rsidRDefault="002C232B" w:rsidP="002C232B">
      <w:pPr>
        <w:ind w:left="426"/>
        <w:rPr>
          <w:b/>
          <w:snapToGrid w:val="0"/>
        </w:rPr>
      </w:pPr>
      <w:r w:rsidRPr="00FD604B">
        <w:rPr>
          <w:b/>
          <w:snapToGrid w:val="0"/>
        </w:rPr>
        <w:t>Crime prevention</w:t>
      </w:r>
    </w:p>
    <w:p w:rsidR="00FD604B" w:rsidRPr="00510D59" w:rsidRDefault="00FD604B" w:rsidP="00FD604B">
      <w:pPr>
        <w:pStyle w:val="BodyTextIndent2"/>
        <w:jc w:val="left"/>
      </w:pPr>
      <w:r>
        <w:rPr>
          <w:snapToGrid w:val="0"/>
        </w:rPr>
        <w:t>Although still a high priority, a</w:t>
      </w:r>
      <w:r w:rsidRPr="00510D59">
        <w:t xml:space="preserve"> smaller percentage of respondents identified crime prevention as a priority in 2013 (39%) compared to 2012 (44%)</w:t>
      </w:r>
      <w:r>
        <w:t>.</w:t>
      </w:r>
    </w:p>
    <w:p w:rsidR="002C232B" w:rsidRPr="002C232B" w:rsidRDefault="002C232B" w:rsidP="002C232B">
      <w:pPr>
        <w:pStyle w:val="BodyTextIndent2"/>
        <w:jc w:val="left"/>
        <w:rPr>
          <w:snapToGrid w:val="0"/>
          <w:highlight w:val="yellow"/>
        </w:rPr>
      </w:pPr>
    </w:p>
    <w:p w:rsidR="002C232B" w:rsidRPr="002C232B" w:rsidRDefault="002C232B" w:rsidP="002C232B">
      <w:pPr>
        <w:pStyle w:val="BodyTextIndent2"/>
        <w:jc w:val="left"/>
        <w:rPr>
          <w:snapToGrid w:val="0"/>
          <w:highlight w:val="yellow"/>
        </w:rPr>
      </w:pPr>
    </w:p>
    <w:p w:rsidR="002C232B" w:rsidRPr="00FD604B" w:rsidRDefault="002C232B" w:rsidP="002C232B">
      <w:pPr>
        <w:ind w:left="426"/>
        <w:rPr>
          <w:b/>
          <w:snapToGrid w:val="0"/>
        </w:rPr>
      </w:pPr>
      <w:r w:rsidRPr="00FD604B">
        <w:rPr>
          <w:b/>
          <w:snapToGrid w:val="0"/>
        </w:rPr>
        <w:t>Other services</w:t>
      </w:r>
    </w:p>
    <w:p w:rsidR="002C232B" w:rsidRPr="00FD604B" w:rsidRDefault="002C232B" w:rsidP="00FD604B">
      <w:pPr>
        <w:pStyle w:val="BodyTextIndent2"/>
        <w:jc w:val="left"/>
        <w:rPr>
          <w:snapToGrid w:val="0"/>
        </w:rPr>
      </w:pPr>
      <w:r w:rsidRPr="00FD604B">
        <w:rPr>
          <w:snapToGrid w:val="0"/>
        </w:rPr>
        <w:t xml:space="preserve">Keeping local bus services running is more of a priority to </w:t>
      </w:r>
      <w:r w:rsidR="00FD604B" w:rsidRPr="00FD604B">
        <w:rPr>
          <w:snapToGrid w:val="0"/>
        </w:rPr>
        <w:t>respondents aged 60 and over (39%) and disabled respondents (36</w:t>
      </w:r>
      <w:r w:rsidRPr="00FD604B">
        <w:rPr>
          <w:snapToGrid w:val="0"/>
        </w:rPr>
        <w:t xml:space="preserve">%). </w:t>
      </w:r>
    </w:p>
    <w:p w:rsidR="002C232B" w:rsidRPr="002C232B" w:rsidRDefault="002C232B" w:rsidP="002C232B">
      <w:pPr>
        <w:pStyle w:val="BodyTextIndent2"/>
        <w:jc w:val="left"/>
        <w:rPr>
          <w:snapToGrid w:val="0"/>
          <w:highlight w:val="yellow"/>
        </w:rPr>
      </w:pPr>
    </w:p>
    <w:p w:rsidR="002C232B" w:rsidRPr="00FD604B" w:rsidRDefault="002C232B" w:rsidP="002C232B">
      <w:pPr>
        <w:pStyle w:val="BodyTextIndent2"/>
        <w:jc w:val="left"/>
        <w:rPr>
          <w:snapToGrid w:val="0"/>
        </w:rPr>
      </w:pPr>
      <w:r w:rsidRPr="00FD604B">
        <w:rPr>
          <w:snapToGrid w:val="0"/>
        </w:rPr>
        <w:t>Welfare rights are more likely to be a high priority for respondents from the lo</w:t>
      </w:r>
      <w:r w:rsidR="00FD604B">
        <w:rPr>
          <w:snapToGrid w:val="0"/>
        </w:rPr>
        <w:t>wer socio-economic groups (C2 20% and DE 29</w:t>
      </w:r>
      <w:r w:rsidRPr="00FD604B">
        <w:rPr>
          <w:snapToGrid w:val="0"/>
        </w:rPr>
        <w:t xml:space="preserve">%). </w:t>
      </w:r>
      <w:r w:rsidR="00FD604B">
        <w:rPr>
          <w:snapToGrid w:val="0"/>
        </w:rPr>
        <w:t>Pupils who are socially disadvantaged and children with SEN are also more likely to be a high priority for respondents from socio-economic group DE (39%).</w:t>
      </w:r>
    </w:p>
    <w:p w:rsidR="002C232B" w:rsidRPr="002C232B" w:rsidRDefault="002C232B" w:rsidP="002C232B">
      <w:pPr>
        <w:rPr>
          <w:highlight w:val="yellow"/>
        </w:rPr>
      </w:pPr>
    </w:p>
    <w:p w:rsidR="002C232B" w:rsidRPr="002C232B" w:rsidRDefault="002C232B" w:rsidP="002C232B">
      <w:pPr>
        <w:rPr>
          <w:highlight w:val="yellow"/>
        </w:rPr>
      </w:pPr>
    </w:p>
    <w:p w:rsidR="002C232B" w:rsidRPr="002C232B" w:rsidRDefault="002C232B" w:rsidP="002C232B">
      <w:pPr>
        <w:rPr>
          <w:highlight w:val="yellow"/>
        </w:rPr>
      </w:pPr>
    </w:p>
    <w:p w:rsidR="002C232B" w:rsidRPr="002C232B" w:rsidRDefault="002C232B" w:rsidP="002C232B">
      <w:pPr>
        <w:rPr>
          <w:highlight w:val="yellow"/>
        </w:rPr>
      </w:pPr>
    </w:p>
    <w:p w:rsidR="002C232B" w:rsidRPr="002C232B" w:rsidRDefault="002C232B" w:rsidP="002C232B">
      <w:pPr>
        <w:rPr>
          <w:highlight w:val="yellow"/>
        </w:rPr>
      </w:pPr>
    </w:p>
    <w:p w:rsidR="002C232B" w:rsidRPr="002C232B" w:rsidRDefault="002C232B" w:rsidP="002C232B">
      <w:pPr>
        <w:rPr>
          <w:highlight w:val="yellow"/>
        </w:rPr>
      </w:pPr>
    </w:p>
    <w:p w:rsidR="002C232B" w:rsidRPr="002C232B" w:rsidRDefault="002C232B" w:rsidP="002C232B">
      <w:pPr>
        <w:rPr>
          <w:highlight w:val="yellow"/>
        </w:rPr>
      </w:pPr>
    </w:p>
    <w:p w:rsidR="002C232B" w:rsidRPr="002C232B" w:rsidRDefault="002C232B" w:rsidP="002C232B">
      <w:pPr>
        <w:rPr>
          <w:highlight w:val="yellow"/>
        </w:rPr>
      </w:pPr>
    </w:p>
    <w:p w:rsidR="002C232B" w:rsidRPr="002C232B" w:rsidRDefault="002C232B" w:rsidP="002C232B">
      <w:pPr>
        <w:rPr>
          <w:highlight w:val="yellow"/>
        </w:rPr>
      </w:pPr>
    </w:p>
    <w:p w:rsidR="002C232B" w:rsidRPr="002C232B" w:rsidRDefault="002C232B" w:rsidP="002C232B">
      <w:pPr>
        <w:rPr>
          <w:highlight w:val="yellow"/>
        </w:rPr>
      </w:pPr>
    </w:p>
    <w:p w:rsidR="002C232B" w:rsidRPr="002C232B" w:rsidRDefault="002C232B" w:rsidP="002C232B">
      <w:pPr>
        <w:pStyle w:val="BodyTextIndent2"/>
        <w:ind w:left="0"/>
        <w:jc w:val="left"/>
        <w:rPr>
          <w:highlight w:val="yellow"/>
        </w:rPr>
      </w:pPr>
    </w:p>
    <w:p w:rsidR="002C232B" w:rsidRPr="0093747E" w:rsidRDefault="002C232B" w:rsidP="00FF32CC">
      <w:pPr>
        <w:pStyle w:val="ChartTitle"/>
        <w:tabs>
          <w:tab w:val="clear" w:pos="1134"/>
          <w:tab w:val="left" w:pos="992"/>
        </w:tabs>
        <w:spacing w:after="0"/>
        <w:ind w:left="993" w:hanging="1276"/>
      </w:pPr>
      <w:bookmarkStart w:id="60" w:name="_Toc304384976"/>
      <w:r w:rsidRPr="002C232B">
        <w:rPr>
          <w:highlight w:val="yellow"/>
        </w:rPr>
        <w:br w:type="page"/>
      </w:r>
      <w:r w:rsidRPr="0093747E">
        <w:t xml:space="preserve">Which </w:t>
      </w:r>
      <w:r w:rsidRPr="0093747E">
        <w:rPr>
          <w:u w:val="single"/>
        </w:rPr>
        <w:t>three or four</w:t>
      </w:r>
      <w:r w:rsidRPr="0093747E">
        <w:t xml:space="preserve"> of the following services should be the highest priorities for spending in the coming years?</w:t>
      </w:r>
      <w:bookmarkEnd w:id="60"/>
    </w:p>
    <w:p w:rsidR="002C232B" w:rsidRPr="002C232B" w:rsidRDefault="007D12C2" w:rsidP="002C232B">
      <w:pPr>
        <w:pStyle w:val="ChartTitle"/>
        <w:numPr>
          <w:ilvl w:val="0"/>
          <w:numId w:val="0"/>
        </w:numPr>
        <w:ind w:left="142"/>
        <w:rPr>
          <w:highlight w:val="yellow"/>
        </w:rPr>
      </w:pPr>
      <w:r w:rsidRPr="007D12C2">
        <w:rPr>
          <w:noProof/>
          <w:lang w:eastAsia="en-GB"/>
        </w:rPr>
        <w:drawing>
          <wp:inline distT="0" distB="0" distL="0" distR="0">
            <wp:extent cx="5752214" cy="754911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232B" w:rsidRPr="0093747E" w:rsidRDefault="00584303" w:rsidP="002C232B">
      <w:pPr>
        <w:ind w:left="556" w:firstLine="720"/>
        <w:rPr>
          <w:sz w:val="16"/>
        </w:rPr>
      </w:pPr>
      <w:r>
        <w:rPr>
          <w:sz w:val="16"/>
        </w:rPr>
        <w:t>Base:    a</w:t>
      </w:r>
      <w:r w:rsidR="002C232B" w:rsidRPr="0093747E">
        <w:rPr>
          <w:sz w:val="16"/>
        </w:rPr>
        <w:t>ll respondents (</w:t>
      </w:r>
      <w:proofErr w:type="spellStart"/>
      <w:r w:rsidR="002C232B" w:rsidRPr="0093747E">
        <w:rPr>
          <w:sz w:val="16"/>
        </w:rPr>
        <w:t>unweighted</w:t>
      </w:r>
      <w:proofErr w:type="spellEnd"/>
      <w:r w:rsidR="002C232B" w:rsidRPr="0093747E">
        <w:rPr>
          <w:sz w:val="16"/>
        </w:rPr>
        <w:t xml:space="preserve"> 1,</w:t>
      </w:r>
      <w:r w:rsidR="00510D59">
        <w:rPr>
          <w:sz w:val="16"/>
        </w:rPr>
        <w:t>230</w:t>
      </w:r>
      <w:r w:rsidR="002C232B" w:rsidRPr="0093747E">
        <w:rPr>
          <w:sz w:val="16"/>
        </w:rPr>
        <w:t xml:space="preserve">, weighted </w:t>
      </w:r>
      <w:r w:rsidR="00510D59">
        <w:rPr>
          <w:sz w:val="16"/>
        </w:rPr>
        <w:t>854</w:t>
      </w:r>
      <w:r w:rsidR="002C232B" w:rsidRPr="0093747E">
        <w:rPr>
          <w:sz w:val="16"/>
        </w:rPr>
        <w:t>)</w:t>
      </w:r>
    </w:p>
    <w:p w:rsidR="002C232B" w:rsidRPr="00510D59" w:rsidRDefault="002C232B" w:rsidP="002C232B">
      <w:pPr>
        <w:pStyle w:val="BodyTextIndent2"/>
        <w:jc w:val="left"/>
      </w:pPr>
      <w:r w:rsidRPr="002C232B">
        <w:rPr>
          <w:snapToGrid w:val="0"/>
          <w:highlight w:val="yellow"/>
        </w:rPr>
        <w:br w:type="page"/>
      </w:r>
      <w:r w:rsidRPr="00510D59">
        <w:t>From the same list of county council services, respondents were then asked to name the services that should be the lowest priorities for spending. The lowest priorities are shown on chart two.</w:t>
      </w:r>
    </w:p>
    <w:p w:rsidR="002C232B" w:rsidRPr="002C232B" w:rsidRDefault="002C232B" w:rsidP="002C232B">
      <w:pPr>
        <w:pStyle w:val="BodyTextIndent2"/>
        <w:jc w:val="left"/>
        <w:rPr>
          <w:highlight w:val="yellow"/>
        </w:rPr>
      </w:pPr>
    </w:p>
    <w:p w:rsidR="002C232B" w:rsidRPr="00510D59" w:rsidRDefault="00510D59" w:rsidP="002C232B">
      <w:pPr>
        <w:pStyle w:val="BodyTextIndent2"/>
        <w:jc w:val="left"/>
        <w:rPr>
          <w:snapToGrid w:val="0"/>
        </w:rPr>
      </w:pPr>
      <w:r w:rsidRPr="00510D59">
        <w:rPr>
          <w:snapToGrid w:val="0"/>
        </w:rPr>
        <w:t>As in the 2012 and 2011</w:t>
      </w:r>
      <w:r w:rsidR="002C232B" w:rsidRPr="00510D59">
        <w:rPr>
          <w:snapToGrid w:val="0"/>
        </w:rPr>
        <w:t xml:space="preserve"> surveys, </w:t>
      </w:r>
      <w:r w:rsidR="002C232B" w:rsidRPr="00510D59">
        <w:rPr>
          <w:b/>
          <w:snapToGrid w:val="0"/>
        </w:rPr>
        <w:t xml:space="preserve">museums </w:t>
      </w:r>
      <w:r w:rsidR="002C232B" w:rsidRPr="00510D59">
        <w:rPr>
          <w:snapToGrid w:val="0"/>
        </w:rPr>
        <w:t>are seen as the service that should be the lowest priority for spending in the coming ye</w:t>
      </w:r>
      <w:r w:rsidRPr="00510D59">
        <w:rPr>
          <w:snapToGrid w:val="0"/>
        </w:rPr>
        <w:t>ars (45</w:t>
      </w:r>
      <w:r w:rsidR="002C232B" w:rsidRPr="00510D59">
        <w:rPr>
          <w:snapToGrid w:val="0"/>
        </w:rPr>
        <w:t xml:space="preserve">%). </w:t>
      </w:r>
      <w:proofErr w:type="gramStart"/>
      <w:r w:rsidRPr="00510D59">
        <w:rPr>
          <w:b/>
          <w:snapToGrid w:val="0"/>
        </w:rPr>
        <w:t>Country parks, open spaces and picnic sites</w:t>
      </w:r>
      <w:r w:rsidRPr="00510D59">
        <w:rPr>
          <w:snapToGrid w:val="0"/>
        </w:rPr>
        <w:t xml:space="preserve"> (28%) is</w:t>
      </w:r>
      <w:proofErr w:type="gramEnd"/>
      <w:r w:rsidR="002C232B" w:rsidRPr="00510D59">
        <w:rPr>
          <w:snapToGrid w:val="0"/>
        </w:rPr>
        <w:t xml:space="preserve"> the next lowest priority. </w:t>
      </w:r>
      <w:r w:rsidRPr="00510D59">
        <w:rPr>
          <w:b/>
          <w:snapToGrid w:val="0"/>
        </w:rPr>
        <w:t xml:space="preserve">Adult education </w:t>
      </w:r>
      <w:r w:rsidRPr="00510D59">
        <w:rPr>
          <w:snapToGrid w:val="0"/>
        </w:rPr>
        <w:t>(27%)</w:t>
      </w:r>
      <w:r w:rsidR="002C232B" w:rsidRPr="00510D59">
        <w:rPr>
          <w:snapToGrid w:val="0"/>
        </w:rPr>
        <w:t xml:space="preserve">, </w:t>
      </w:r>
      <w:r w:rsidR="002C232B" w:rsidRPr="00510D59">
        <w:rPr>
          <w:b/>
          <w:snapToGrid w:val="0"/>
        </w:rPr>
        <w:t xml:space="preserve">welfare rights </w:t>
      </w:r>
      <w:r w:rsidRPr="00510D59">
        <w:rPr>
          <w:snapToGrid w:val="0"/>
        </w:rPr>
        <w:t>(26</w:t>
      </w:r>
      <w:r w:rsidR="002C232B" w:rsidRPr="00510D59">
        <w:rPr>
          <w:snapToGrid w:val="0"/>
        </w:rPr>
        <w:t xml:space="preserve">%), </w:t>
      </w:r>
      <w:r w:rsidR="002C232B" w:rsidRPr="00510D59">
        <w:rPr>
          <w:b/>
          <w:snapToGrid w:val="0"/>
        </w:rPr>
        <w:t>trading standards</w:t>
      </w:r>
      <w:r w:rsidR="002C232B" w:rsidRPr="00510D59">
        <w:rPr>
          <w:snapToGrid w:val="0"/>
        </w:rPr>
        <w:t xml:space="preserve"> (24%), and </w:t>
      </w:r>
      <w:r w:rsidRPr="00510D59">
        <w:rPr>
          <w:b/>
          <w:snapToGrid w:val="0"/>
        </w:rPr>
        <w:t>libraries</w:t>
      </w:r>
      <w:r w:rsidR="002C232B" w:rsidRPr="00510D59">
        <w:rPr>
          <w:b/>
          <w:snapToGrid w:val="0"/>
        </w:rPr>
        <w:t xml:space="preserve"> </w:t>
      </w:r>
      <w:r w:rsidRPr="00510D59">
        <w:rPr>
          <w:snapToGrid w:val="0"/>
        </w:rPr>
        <w:t>(22</w:t>
      </w:r>
      <w:r w:rsidR="002C232B" w:rsidRPr="00510D59">
        <w:rPr>
          <w:snapToGrid w:val="0"/>
        </w:rPr>
        <w:t>%)</w:t>
      </w:r>
      <w:r w:rsidR="002C232B" w:rsidRPr="00510D59">
        <w:rPr>
          <w:b/>
          <w:snapToGrid w:val="0"/>
        </w:rPr>
        <w:t xml:space="preserve"> </w:t>
      </w:r>
      <w:r w:rsidR="002C232B" w:rsidRPr="00510D59">
        <w:rPr>
          <w:snapToGrid w:val="0"/>
        </w:rPr>
        <w:t xml:space="preserve">are also seen as relatively low priorities. </w:t>
      </w:r>
    </w:p>
    <w:p w:rsidR="002C232B" w:rsidRPr="002C232B" w:rsidRDefault="002C232B" w:rsidP="002C232B">
      <w:pPr>
        <w:pStyle w:val="BodyTextIndent2"/>
        <w:rPr>
          <w:snapToGrid w:val="0"/>
          <w:highlight w:val="yellow"/>
        </w:rPr>
      </w:pPr>
    </w:p>
    <w:p w:rsidR="002C232B" w:rsidRPr="00584303" w:rsidRDefault="002C232B" w:rsidP="00691147">
      <w:pPr>
        <w:pStyle w:val="Heading3"/>
        <w:tabs>
          <w:tab w:val="left" w:pos="1134"/>
        </w:tabs>
        <w:ind w:left="426" w:firstLine="0"/>
      </w:pPr>
      <w:bookmarkStart w:id="61" w:name="_Toc280196314"/>
      <w:bookmarkStart w:id="62" w:name="_Toc343244249"/>
      <w:bookmarkStart w:id="63" w:name="_Toc377634294"/>
      <w:r w:rsidRPr="00584303">
        <w:t>Individual services - low priority for spending</w:t>
      </w:r>
      <w:bookmarkEnd w:id="61"/>
      <w:bookmarkEnd w:id="62"/>
      <w:bookmarkEnd w:id="63"/>
    </w:p>
    <w:p w:rsidR="002C232B" w:rsidRPr="00AE68C3" w:rsidRDefault="002C232B" w:rsidP="002C232B">
      <w:pPr>
        <w:ind w:left="426"/>
        <w:rPr>
          <w:b/>
          <w:snapToGrid w:val="0"/>
          <w:color w:val="auto"/>
        </w:rPr>
      </w:pPr>
      <w:r w:rsidRPr="00AE68C3">
        <w:rPr>
          <w:b/>
          <w:snapToGrid w:val="0"/>
          <w:color w:val="auto"/>
        </w:rPr>
        <w:t xml:space="preserve">Museums </w:t>
      </w:r>
    </w:p>
    <w:p w:rsidR="002C232B" w:rsidRPr="00AE68C3" w:rsidRDefault="002C232B" w:rsidP="002C232B">
      <w:pPr>
        <w:pStyle w:val="BodyTextIndent2"/>
        <w:jc w:val="left"/>
        <w:rPr>
          <w:snapToGrid w:val="0"/>
        </w:rPr>
      </w:pPr>
      <w:r w:rsidRPr="00AE68C3">
        <w:rPr>
          <w:snapToGrid w:val="0"/>
        </w:rPr>
        <w:t xml:space="preserve">Museums are consistently mentioned by all the different demographic groups as a low priority for spending. </w:t>
      </w:r>
    </w:p>
    <w:p w:rsidR="002C232B" w:rsidRPr="002C232B" w:rsidRDefault="002C232B" w:rsidP="002C232B">
      <w:pPr>
        <w:ind w:left="426"/>
        <w:rPr>
          <w:b/>
          <w:snapToGrid w:val="0"/>
          <w:color w:val="auto"/>
          <w:highlight w:val="yellow"/>
        </w:rPr>
      </w:pPr>
    </w:p>
    <w:p w:rsidR="002C232B" w:rsidRPr="00EA0195" w:rsidRDefault="002C232B" w:rsidP="002C232B">
      <w:pPr>
        <w:ind w:left="426"/>
        <w:rPr>
          <w:b/>
          <w:snapToGrid w:val="0"/>
          <w:color w:val="auto"/>
        </w:rPr>
      </w:pPr>
      <w:r w:rsidRPr="00EA0195">
        <w:rPr>
          <w:b/>
          <w:snapToGrid w:val="0"/>
          <w:color w:val="auto"/>
        </w:rPr>
        <w:t>Country parks, open spaces and picnic sites</w:t>
      </w:r>
    </w:p>
    <w:p w:rsidR="002C232B" w:rsidRPr="00EA0195" w:rsidRDefault="00EA0195" w:rsidP="002C232B">
      <w:pPr>
        <w:pStyle w:val="BodyTextIndent2"/>
        <w:jc w:val="left"/>
        <w:rPr>
          <w:snapToGrid w:val="0"/>
        </w:rPr>
      </w:pPr>
      <w:r w:rsidRPr="00EA0195">
        <w:rPr>
          <w:snapToGrid w:val="0"/>
        </w:rPr>
        <w:t>Disabled respondents (33</w:t>
      </w:r>
      <w:r w:rsidR="002C232B" w:rsidRPr="00EA0195">
        <w:rPr>
          <w:snapToGrid w:val="0"/>
        </w:rPr>
        <w:t>%)</w:t>
      </w:r>
      <w:r w:rsidRPr="00EA0195">
        <w:rPr>
          <w:snapToGrid w:val="0"/>
        </w:rPr>
        <w:t xml:space="preserve"> </w:t>
      </w:r>
      <w:r w:rsidR="002C232B" w:rsidRPr="00EA0195">
        <w:rPr>
          <w:snapToGrid w:val="0"/>
        </w:rPr>
        <w:t xml:space="preserve">and </w:t>
      </w:r>
      <w:r w:rsidRPr="00EA0195">
        <w:rPr>
          <w:snapToGrid w:val="0"/>
        </w:rPr>
        <w:t>respondents aged 60 and over (40</w:t>
      </w:r>
      <w:r w:rsidR="002C232B" w:rsidRPr="00EA0195">
        <w:rPr>
          <w:snapToGrid w:val="0"/>
        </w:rPr>
        <w:t xml:space="preserve">%) are more likely to rate </w:t>
      </w:r>
      <w:r w:rsidRPr="00EA0195">
        <w:rPr>
          <w:snapToGrid w:val="0"/>
        </w:rPr>
        <w:t>country parks, open spaces and picnic sites</w:t>
      </w:r>
      <w:r w:rsidR="002C232B" w:rsidRPr="00EA0195">
        <w:rPr>
          <w:snapToGrid w:val="0"/>
        </w:rPr>
        <w:t xml:space="preserve"> as a low priority.</w:t>
      </w:r>
      <w:r>
        <w:rPr>
          <w:snapToGrid w:val="0"/>
        </w:rPr>
        <w:t xml:space="preserve"> Respondents with children in the household are less likely to choose country parks as a low priority (18%).</w:t>
      </w:r>
    </w:p>
    <w:p w:rsidR="002C232B" w:rsidRPr="002C232B" w:rsidRDefault="002C232B" w:rsidP="002C232B">
      <w:pPr>
        <w:ind w:left="426"/>
        <w:rPr>
          <w:b/>
          <w:snapToGrid w:val="0"/>
          <w:color w:val="auto"/>
          <w:highlight w:val="yellow"/>
        </w:rPr>
      </w:pPr>
    </w:p>
    <w:p w:rsidR="002C232B" w:rsidRPr="00EA0195" w:rsidRDefault="002C232B" w:rsidP="002C232B">
      <w:pPr>
        <w:ind w:left="426"/>
        <w:rPr>
          <w:b/>
          <w:snapToGrid w:val="0"/>
          <w:color w:val="auto"/>
        </w:rPr>
      </w:pPr>
      <w:r w:rsidRPr="00EA0195">
        <w:rPr>
          <w:b/>
          <w:snapToGrid w:val="0"/>
          <w:color w:val="auto"/>
        </w:rPr>
        <w:t>Welfare rights</w:t>
      </w:r>
    </w:p>
    <w:p w:rsidR="002C232B" w:rsidRPr="00EA0195" w:rsidRDefault="002C232B" w:rsidP="002C232B">
      <w:pPr>
        <w:ind w:left="426"/>
        <w:rPr>
          <w:snapToGrid w:val="0"/>
          <w:color w:val="auto"/>
        </w:rPr>
      </w:pPr>
      <w:r w:rsidRPr="00EA0195">
        <w:rPr>
          <w:snapToGrid w:val="0"/>
          <w:color w:val="auto"/>
        </w:rPr>
        <w:t>The respondents who put welfare rights as a low priority are in the hig</w:t>
      </w:r>
      <w:r w:rsidR="00EA0195" w:rsidRPr="00EA0195">
        <w:rPr>
          <w:snapToGrid w:val="0"/>
          <w:color w:val="auto"/>
        </w:rPr>
        <w:t>hest socio-economic group AB (40</w:t>
      </w:r>
      <w:r w:rsidRPr="00EA0195">
        <w:rPr>
          <w:snapToGrid w:val="0"/>
          <w:color w:val="auto"/>
        </w:rPr>
        <w:t>%) and respond</w:t>
      </w:r>
      <w:r w:rsidR="00EA0195" w:rsidRPr="00EA0195">
        <w:rPr>
          <w:snapToGrid w:val="0"/>
          <w:color w:val="auto"/>
        </w:rPr>
        <w:t>ents in full time employment (34</w:t>
      </w:r>
      <w:r w:rsidRPr="00EA0195">
        <w:rPr>
          <w:snapToGrid w:val="0"/>
          <w:color w:val="auto"/>
        </w:rPr>
        <w:t>%)</w:t>
      </w:r>
      <w:r w:rsidR="00EA0195" w:rsidRPr="00EA0195">
        <w:rPr>
          <w:snapToGrid w:val="0"/>
          <w:color w:val="auto"/>
        </w:rPr>
        <w:t xml:space="preserve"> or part time employment (33%)</w:t>
      </w:r>
      <w:r w:rsidRPr="00EA0195">
        <w:rPr>
          <w:snapToGrid w:val="0"/>
          <w:color w:val="auto"/>
        </w:rPr>
        <w:t>. Disabled respondents are less likely to choose welf</w:t>
      </w:r>
      <w:r w:rsidR="00EA0195" w:rsidRPr="00EA0195">
        <w:rPr>
          <w:snapToGrid w:val="0"/>
          <w:color w:val="auto"/>
        </w:rPr>
        <w:t>are rights as a low priority (19</w:t>
      </w:r>
      <w:r w:rsidRPr="00EA0195">
        <w:rPr>
          <w:snapToGrid w:val="0"/>
          <w:color w:val="auto"/>
        </w:rPr>
        <w:t xml:space="preserve">%). </w:t>
      </w:r>
    </w:p>
    <w:p w:rsidR="002C232B" w:rsidRPr="002C232B" w:rsidRDefault="002C232B" w:rsidP="002C232B">
      <w:pPr>
        <w:ind w:left="576"/>
        <w:jc w:val="both"/>
        <w:rPr>
          <w:snapToGrid w:val="0"/>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2C232B" w:rsidRDefault="002C232B" w:rsidP="002C232B">
      <w:pPr>
        <w:pStyle w:val="BodyTextIndent2"/>
        <w:jc w:val="left"/>
        <w:rPr>
          <w:highlight w:val="yellow"/>
        </w:rPr>
      </w:pPr>
    </w:p>
    <w:p w:rsidR="002C232B" w:rsidRPr="00510D59" w:rsidRDefault="002C232B" w:rsidP="00FF32CC">
      <w:pPr>
        <w:pStyle w:val="ChartTitle"/>
        <w:tabs>
          <w:tab w:val="clear" w:pos="1134"/>
          <w:tab w:val="left" w:pos="992"/>
        </w:tabs>
        <w:spacing w:after="0"/>
        <w:ind w:left="993" w:hanging="1276"/>
      </w:pPr>
      <w:bookmarkStart w:id="64" w:name="_Toc304384978"/>
      <w:r w:rsidRPr="00510D59">
        <w:t xml:space="preserve">And which </w:t>
      </w:r>
      <w:r w:rsidRPr="00510D59">
        <w:rPr>
          <w:u w:val="single"/>
        </w:rPr>
        <w:t>three or four</w:t>
      </w:r>
      <w:r w:rsidRPr="00510D59">
        <w:t xml:space="preserve"> of these services should be the lowest priorities for spending in the coming years?</w:t>
      </w:r>
      <w:bookmarkEnd w:id="64"/>
    </w:p>
    <w:p w:rsidR="002C232B" w:rsidRPr="002C232B" w:rsidRDefault="002110AC" w:rsidP="002C232B">
      <w:pPr>
        <w:pStyle w:val="ChartTitle"/>
        <w:numPr>
          <w:ilvl w:val="0"/>
          <w:numId w:val="0"/>
        </w:numPr>
        <w:rPr>
          <w:highlight w:val="yellow"/>
        </w:rPr>
      </w:pPr>
      <w:r w:rsidRPr="002110AC">
        <w:rPr>
          <w:noProof/>
          <w:lang w:eastAsia="en-GB"/>
        </w:rPr>
        <w:drawing>
          <wp:inline distT="0" distB="0" distL="0" distR="0">
            <wp:extent cx="5752214" cy="750658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232B" w:rsidRPr="00510D59" w:rsidRDefault="00584303" w:rsidP="002C232B">
      <w:pPr>
        <w:ind w:left="556" w:firstLine="720"/>
        <w:rPr>
          <w:sz w:val="16"/>
        </w:rPr>
      </w:pPr>
      <w:r>
        <w:rPr>
          <w:sz w:val="16"/>
        </w:rPr>
        <w:t>Base:    a</w:t>
      </w:r>
      <w:r w:rsidR="00510D59" w:rsidRPr="00510D59">
        <w:rPr>
          <w:sz w:val="16"/>
        </w:rPr>
        <w:t>ll respondents (</w:t>
      </w:r>
      <w:proofErr w:type="spellStart"/>
      <w:r w:rsidR="00510D59" w:rsidRPr="00510D59">
        <w:rPr>
          <w:sz w:val="16"/>
        </w:rPr>
        <w:t>unweighted</w:t>
      </w:r>
      <w:proofErr w:type="spellEnd"/>
      <w:r w:rsidR="00510D59" w:rsidRPr="00510D59">
        <w:rPr>
          <w:sz w:val="16"/>
        </w:rPr>
        <w:t xml:space="preserve"> 1,151</w:t>
      </w:r>
      <w:r w:rsidR="002C232B" w:rsidRPr="00510D59">
        <w:rPr>
          <w:sz w:val="16"/>
        </w:rPr>
        <w:t xml:space="preserve">, weighted </w:t>
      </w:r>
      <w:r w:rsidR="00510D59" w:rsidRPr="00510D59">
        <w:rPr>
          <w:sz w:val="16"/>
        </w:rPr>
        <w:t>800</w:t>
      </w:r>
      <w:r w:rsidR="002C232B" w:rsidRPr="00510D59">
        <w:rPr>
          <w:sz w:val="16"/>
        </w:rPr>
        <w:t>)</w:t>
      </w:r>
    </w:p>
    <w:p w:rsidR="00850CCC" w:rsidRDefault="00850CCC" w:rsidP="00691147">
      <w:pPr>
        <w:pStyle w:val="Heading2"/>
      </w:pPr>
      <w:bookmarkStart w:id="65" w:name="_Toc377634295"/>
      <w:r>
        <w:t>Budget decisions</w:t>
      </w:r>
      <w:bookmarkEnd w:id="65"/>
    </w:p>
    <w:p w:rsidR="002C232B" w:rsidRPr="00510D59" w:rsidRDefault="00584303" w:rsidP="00850CCC">
      <w:pPr>
        <w:pStyle w:val="Wavebody"/>
      </w:pPr>
      <w:r>
        <w:t>For the past two years, p</w:t>
      </w:r>
      <w:r w:rsidR="002C232B" w:rsidRPr="00510D59">
        <w:t xml:space="preserve">anel members </w:t>
      </w:r>
      <w:r>
        <w:t>have been</w:t>
      </w:r>
      <w:r w:rsidR="002C232B" w:rsidRPr="00510D59">
        <w:t xml:space="preserve"> asked how strongly they agree or disagree with the statement 'I appreciate that in the current climate there are difficult budget decisions that the coun</w:t>
      </w:r>
      <w:r>
        <w:t>ty council needs to make'. Four-</w:t>
      </w:r>
      <w:r w:rsidR="002C232B" w:rsidRPr="00510D59">
        <w:t>fifths of respondents agree with the statement (82%).</w:t>
      </w:r>
      <w:r w:rsidR="00EA0195">
        <w:t xml:space="preserve"> Responses to this question have not changed significantly since 2012.</w:t>
      </w:r>
    </w:p>
    <w:p w:rsidR="002C232B" w:rsidRPr="002C232B" w:rsidRDefault="002C232B" w:rsidP="002C232B">
      <w:pPr>
        <w:pStyle w:val="Wavebody"/>
        <w:rPr>
          <w:highlight w:val="yellow"/>
        </w:rPr>
      </w:pPr>
    </w:p>
    <w:p w:rsidR="002C232B" w:rsidRPr="00510D59" w:rsidRDefault="002C232B" w:rsidP="00FF32CC">
      <w:pPr>
        <w:pStyle w:val="ChartTitle"/>
        <w:tabs>
          <w:tab w:val="clear" w:pos="1134"/>
          <w:tab w:val="left" w:pos="992"/>
        </w:tabs>
        <w:spacing w:after="0"/>
        <w:ind w:left="993" w:hanging="1276"/>
      </w:pPr>
      <w:r w:rsidRPr="00510D59">
        <w:t>How strongly do you agree or disagree with the following statement? I appreciate that in the current climate there are difficult budget decisions that the county council needs to make.</w:t>
      </w:r>
    </w:p>
    <w:p w:rsidR="002C232B" w:rsidRPr="002C232B" w:rsidRDefault="00EA0195" w:rsidP="002C232B">
      <w:pPr>
        <w:pStyle w:val="ChartTitle"/>
        <w:numPr>
          <w:ilvl w:val="0"/>
          <w:numId w:val="0"/>
        </w:numPr>
        <w:ind w:left="1276"/>
        <w:rPr>
          <w:highlight w:val="yellow"/>
        </w:rPr>
      </w:pPr>
      <w:r w:rsidRPr="00EA0195">
        <w:rPr>
          <w:noProof/>
          <w:lang w:eastAsia="en-GB"/>
        </w:rPr>
        <w:drawing>
          <wp:inline distT="0" distB="0" distL="0" distR="0">
            <wp:extent cx="45720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232B" w:rsidRPr="00510D59" w:rsidRDefault="002C232B" w:rsidP="002C232B">
      <w:pPr>
        <w:ind w:firstLine="426"/>
        <w:jc w:val="center"/>
        <w:rPr>
          <w:sz w:val="16"/>
        </w:rPr>
      </w:pPr>
      <w:r w:rsidRPr="00510D59">
        <w:rPr>
          <w:sz w:val="16"/>
        </w:rPr>
        <w:t xml:space="preserve">Base:    </w:t>
      </w:r>
      <w:r w:rsidR="00584303">
        <w:rPr>
          <w:sz w:val="16"/>
        </w:rPr>
        <w:t>a</w:t>
      </w:r>
      <w:r w:rsidR="00510D59" w:rsidRPr="00510D59">
        <w:rPr>
          <w:sz w:val="16"/>
        </w:rPr>
        <w:t>ll respondents (</w:t>
      </w:r>
      <w:proofErr w:type="spellStart"/>
      <w:r w:rsidR="00510D59" w:rsidRPr="00510D59">
        <w:rPr>
          <w:sz w:val="16"/>
        </w:rPr>
        <w:t>unweighted</w:t>
      </w:r>
      <w:proofErr w:type="spellEnd"/>
      <w:r w:rsidR="00510D59" w:rsidRPr="00510D59">
        <w:rPr>
          <w:sz w:val="16"/>
        </w:rPr>
        <w:t xml:space="preserve"> 1,</w:t>
      </w:r>
      <w:r w:rsidRPr="00510D59">
        <w:rPr>
          <w:sz w:val="16"/>
        </w:rPr>
        <w:t>2</w:t>
      </w:r>
      <w:r w:rsidR="00510D59" w:rsidRPr="00510D59">
        <w:rPr>
          <w:sz w:val="16"/>
        </w:rPr>
        <w:t>17, weighted 849</w:t>
      </w:r>
      <w:r w:rsidRPr="00510D59">
        <w:rPr>
          <w:sz w:val="16"/>
        </w:rPr>
        <w:t>)</w:t>
      </w:r>
    </w:p>
    <w:p w:rsidR="002C232B" w:rsidRPr="002C232B" w:rsidRDefault="002C232B" w:rsidP="002C232B">
      <w:pPr>
        <w:pStyle w:val="Wavebody"/>
        <w:rPr>
          <w:highlight w:val="yellow"/>
        </w:rPr>
      </w:pPr>
    </w:p>
    <w:p w:rsidR="002C232B" w:rsidRPr="00B62BC8" w:rsidRDefault="002C232B" w:rsidP="002C232B">
      <w:pPr>
        <w:pStyle w:val="Wavebody"/>
      </w:pPr>
      <w:r w:rsidRPr="00EA0195">
        <w:t xml:space="preserve">Respondents in socio-economic group AB are more likely to </w:t>
      </w:r>
      <w:r w:rsidR="00EA0195" w:rsidRPr="00EA0195">
        <w:t>agree with the statement (87</w:t>
      </w:r>
      <w:r w:rsidRPr="00EA0195">
        <w:t>%).</w:t>
      </w:r>
    </w:p>
    <w:p w:rsidR="00270F62" w:rsidRPr="00270F62" w:rsidRDefault="00270F62" w:rsidP="00270F62"/>
    <w:p w:rsidR="00370B14" w:rsidRPr="00FF32CC" w:rsidRDefault="00232524" w:rsidP="00FF32CC">
      <w:pPr>
        <w:spacing w:after="0"/>
        <w:rPr>
          <w:rFonts w:eastAsia="Times New Roman"/>
          <w:color w:val="auto"/>
          <w:szCs w:val="20"/>
        </w:rPr>
      </w:pPr>
      <w:bookmarkStart w:id="66" w:name="_Toc304384973"/>
      <w:bookmarkStart w:id="67" w:name="_Toc311022213"/>
      <w:r>
        <w:rPr>
          <w:rFonts w:ascii="Corbel" w:hAnsi="Corbel"/>
          <w:bCs/>
          <w:sz w:val="40"/>
          <w:szCs w:val="28"/>
          <w:lang w:eastAsia="en-GB"/>
        </w:rPr>
        <w:br w:type="page"/>
      </w:r>
      <w:bookmarkEnd w:id="66"/>
      <w:bookmarkEnd w:id="67"/>
    </w:p>
    <w:p w:rsidR="000701AB" w:rsidRPr="00F94C2E" w:rsidRDefault="000701AB" w:rsidP="00691147">
      <w:pPr>
        <w:pStyle w:val="Heading1"/>
        <w:rPr>
          <w:sz w:val="28"/>
        </w:rPr>
      </w:pPr>
      <w:bookmarkStart w:id="68" w:name="_Toc311022220"/>
      <w:bookmarkStart w:id="69" w:name="_Toc377634296"/>
      <w:r w:rsidRPr="00770CBB">
        <w:t>Appendix</w:t>
      </w:r>
      <w:r w:rsidRPr="00F94C2E">
        <w:rPr>
          <w:lang w:eastAsia="en-GB"/>
        </w:rPr>
        <w:t xml:space="preserve"> 1: </w:t>
      </w:r>
      <w:r w:rsidR="007304A7">
        <w:rPr>
          <w:lang w:eastAsia="en-GB"/>
        </w:rPr>
        <w:t>Socio-Economic-Group Definitions</w:t>
      </w:r>
      <w:bookmarkEnd w:id="68"/>
      <w:bookmarkEnd w:id="69"/>
    </w:p>
    <w:p w:rsidR="007304A7" w:rsidRPr="00706AB4" w:rsidRDefault="007304A7" w:rsidP="007304A7">
      <w:pPr>
        <w:pStyle w:val="BodyTextIndent2"/>
      </w:pPr>
      <w:r w:rsidRPr="00706AB4">
        <w:t>These groups are based on Market Research Society definitions and on the respondent.  They are graded as A, B, C1, C2, D and E.</w:t>
      </w:r>
    </w:p>
    <w:p w:rsidR="007304A7" w:rsidRPr="007304A7" w:rsidRDefault="007304A7" w:rsidP="007304A7">
      <w:pPr>
        <w:pStyle w:val="BodyTextIndent2"/>
      </w:pPr>
    </w:p>
    <w:p w:rsidR="007304A7" w:rsidRPr="007304A7" w:rsidRDefault="007304A7" w:rsidP="007304A7">
      <w:pPr>
        <w:pStyle w:val="BodyText"/>
        <w:tabs>
          <w:tab w:val="left" w:pos="567"/>
        </w:tabs>
        <w:ind w:left="567"/>
        <w:jc w:val="left"/>
        <w:rPr>
          <w:rFonts w:ascii="Arial" w:hAnsi="Arial" w:cs="Arial"/>
          <w:color w:val="auto"/>
          <w:sz w:val="24"/>
        </w:rPr>
      </w:pPr>
      <w:r w:rsidRPr="007304A7">
        <w:rPr>
          <w:rFonts w:ascii="Arial" w:hAnsi="Arial" w:cs="Arial"/>
          <w:color w:val="auto"/>
          <w:sz w:val="24"/>
        </w:rPr>
        <w:t>Group A</w:t>
      </w:r>
    </w:p>
    <w:p w:rsidR="007304A7" w:rsidRPr="007304A7" w:rsidRDefault="007304A7" w:rsidP="00343155">
      <w:pPr>
        <w:pStyle w:val="BodyText"/>
        <w:numPr>
          <w:ilvl w:val="0"/>
          <w:numId w:val="2"/>
        </w:numPr>
        <w:tabs>
          <w:tab w:val="clear" w:pos="360"/>
          <w:tab w:val="left" w:pos="567"/>
          <w:tab w:val="num" w:pos="643"/>
          <w:tab w:val="num" w:pos="709"/>
        </w:tabs>
        <w:ind w:left="709" w:hanging="142"/>
        <w:jc w:val="left"/>
        <w:rPr>
          <w:rFonts w:ascii="Arial" w:hAnsi="Arial" w:cs="Arial"/>
          <w:b w:val="0"/>
          <w:color w:val="auto"/>
          <w:sz w:val="24"/>
        </w:rPr>
      </w:pPr>
      <w:r w:rsidRPr="007304A7">
        <w:rPr>
          <w:rFonts w:ascii="Arial" w:hAnsi="Arial" w:cs="Arial"/>
          <w:b w:val="0"/>
          <w:color w:val="auto"/>
          <w:sz w:val="24"/>
        </w:rPr>
        <w:t xml:space="preserve">Professional people, very senior managers in business or commerce or top-level civil servants  </w:t>
      </w:r>
    </w:p>
    <w:p w:rsidR="007304A7" w:rsidRPr="007304A7" w:rsidRDefault="007304A7" w:rsidP="00343155">
      <w:pPr>
        <w:pStyle w:val="BodyText"/>
        <w:numPr>
          <w:ilvl w:val="0"/>
          <w:numId w:val="2"/>
        </w:numPr>
        <w:tabs>
          <w:tab w:val="clear" w:pos="360"/>
          <w:tab w:val="left" w:pos="567"/>
          <w:tab w:val="num" w:pos="643"/>
          <w:tab w:val="num" w:pos="709"/>
        </w:tabs>
        <w:ind w:left="850" w:hanging="283"/>
        <w:jc w:val="left"/>
        <w:rPr>
          <w:rFonts w:ascii="Arial" w:hAnsi="Arial" w:cs="Arial"/>
          <w:b w:val="0"/>
          <w:color w:val="auto"/>
          <w:sz w:val="24"/>
        </w:rPr>
      </w:pPr>
      <w:r w:rsidRPr="007304A7">
        <w:rPr>
          <w:rFonts w:ascii="Arial" w:hAnsi="Arial" w:cs="Arial"/>
          <w:b w:val="0"/>
          <w:color w:val="auto"/>
          <w:sz w:val="24"/>
        </w:rPr>
        <w:t>Retired people, previously grade A, and their widows</w:t>
      </w:r>
    </w:p>
    <w:p w:rsidR="007304A7" w:rsidRPr="007304A7" w:rsidRDefault="007304A7" w:rsidP="007304A7">
      <w:pPr>
        <w:pStyle w:val="BodyText"/>
        <w:tabs>
          <w:tab w:val="left" w:pos="567"/>
        </w:tabs>
        <w:ind w:left="850"/>
        <w:jc w:val="left"/>
        <w:rPr>
          <w:rFonts w:ascii="Arial" w:hAnsi="Arial" w:cs="Arial"/>
          <w:color w:val="auto"/>
          <w:sz w:val="24"/>
        </w:rPr>
      </w:pPr>
    </w:p>
    <w:p w:rsidR="007304A7" w:rsidRPr="007304A7" w:rsidRDefault="007304A7" w:rsidP="007304A7">
      <w:pPr>
        <w:pStyle w:val="BodyText"/>
        <w:tabs>
          <w:tab w:val="left" w:pos="567"/>
        </w:tabs>
        <w:ind w:left="567"/>
        <w:jc w:val="left"/>
        <w:rPr>
          <w:rFonts w:ascii="Arial" w:hAnsi="Arial" w:cs="Arial"/>
          <w:color w:val="auto"/>
          <w:sz w:val="24"/>
        </w:rPr>
      </w:pPr>
      <w:r w:rsidRPr="007304A7">
        <w:rPr>
          <w:rFonts w:ascii="Arial" w:hAnsi="Arial" w:cs="Arial"/>
          <w:color w:val="auto"/>
          <w:sz w:val="24"/>
        </w:rPr>
        <w:t>Group B</w:t>
      </w:r>
    </w:p>
    <w:p w:rsidR="007304A7" w:rsidRPr="007304A7" w:rsidRDefault="007304A7" w:rsidP="00343155">
      <w:pPr>
        <w:pStyle w:val="BodyText"/>
        <w:numPr>
          <w:ilvl w:val="0"/>
          <w:numId w:val="3"/>
        </w:numPr>
        <w:tabs>
          <w:tab w:val="clear" w:pos="360"/>
          <w:tab w:val="left" w:pos="567"/>
          <w:tab w:val="num" w:pos="643"/>
          <w:tab w:val="num" w:pos="709"/>
        </w:tabs>
        <w:ind w:left="709" w:hanging="142"/>
        <w:jc w:val="left"/>
        <w:rPr>
          <w:rFonts w:ascii="Arial" w:hAnsi="Arial" w:cs="Arial"/>
          <w:b w:val="0"/>
          <w:color w:val="auto"/>
          <w:sz w:val="24"/>
        </w:rPr>
      </w:pPr>
      <w:r w:rsidRPr="007304A7">
        <w:rPr>
          <w:rFonts w:ascii="Arial" w:hAnsi="Arial" w:cs="Arial"/>
          <w:b w:val="0"/>
          <w:color w:val="auto"/>
          <w:sz w:val="24"/>
        </w:rPr>
        <w:t>Middle management executives in large organisations, with appropriate qualifications</w:t>
      </w:r>
    </w:p>
    <w:p w:rsidR="007304A7" w:rsidRPr="007304A7" w:rsidRDefault="007304A7" w:rsidP="00343155">
      <w:pPr>
        <w:pStyle w:val="BodyText"/>
        <w:numPr>
          <w:ilvl w:val="0"/>
          <w:numId w:val="3"/>
        </w:numPr>
        <w:tabs>
          <w:tab w:val="clear" w:pos="360"/>
          <w:tab w:val="left" w:pos="567"/>
          <w:tab w:val="num" w:pos="643"/>
          <w:tab w:val="num" w:pos="709"/>
        </w:tabs>
        <w:ind w:left="850" w:hanging="283"/>
        <w:jc w:val="left"/>
        <w:rPr>
          <w:rFonts w:ascii="Arial" w:hAnsi="Arial" w:cs="Arial"/>
          <w:b w:val="0"/>
          <w:color w:val="auto"/>
          <w:sz w:val="24"/>
        </w:rPr>
      </w:pPr>
      <w:r w:rsidRPr="007304A7">
        <w:rPr>
          <w:rFonts w:ascii="Arial" w:hAnsi="Arial" w:cs="Arial"/>
          <w:b w:val="0"/>
          <w:color w:val="auto"/>
          <w:sz w:val="24"/>
        </w:rPr>
        <w:t>Principle officers in local government and civil service</w:t>
      </w:r>
    </w:p>
    <w:p w:rsidR="007304A7" w:rsidRPr="007304A7" w:rsidRDefault="007304A7" w:rsidP="00343155">
      <w:pPr>
        <w:pStyle w:val="BodyText"/>
        <w:numPr>
          <w:ilvl w:val="0"/>
          <w:numId w:val="3"/>
        </w:numPr>
        <w:tabs>
          <w:tab w:val="clear" w:pos="360"/>
          <w:tab w:val="left" w:pos="567"/>
          <w:tab w:val="num" w:pos="643"/>
          <w:tab w:val="num" w:pos="709"/>
        </w:tabs>
        <w:ind w:left="709" w:hanging="142"/>
        <w:jc w:val="left"/>
        <w:rPr>
          <w:rFonts w:ascii="Arial" w:hAnsi="Arial" w:cs="Arial"/>
          <w:b w:val="0"/>
          <w:color w:val="auto"/>
          <w:sz w:val="24"/>
        </w:rPr>
      </w:pPr>
      <w:r w:rsidRPr="007304A7">
        <w:rPr>
          <w:rFonts w:ascii="Arial" w:hAnsi="Arial" w:cs="Arial"/>
          <w:b w:val="0"/>
          <w:color w:val="auto"/>
          <w:sz w:val="24"/>
        </w:rPr>
        <w:t>Top management or owners of small business concerns, educational and service establishments</w:t>
      </w:r>
    </w:p>
    <w:p w:rsidR="007304A7" w:rsidRPr="007304A7" w:rsidRDefault="007304A7" w:rsidP="00343155">
      <w:pPr>
        <w:pStyle w:val="BodyText"/>
        <w:numPr>
          <w:ilvl w:val="0"/>
          <w:numId w:val="3"/>
        </w:numPr>
        <w:tabs>
          <w:tab w:val="clear" w:pos="360"/>
          <w:tab w:val="left" w:pos="567"/>
          <w:tab w:val="num" w:pos="643"/>
          <w:tab w:val="num" w:pos="709"/>
        </w:tabs>
        <w:ind w:left="850" w:hanging="283"/>
        <w:jc w:val="left"/>
        <w:rPr>
          <w:rFonts w:ascii="Arial" w:hAnsi="Arial" w:cs="Arial"/>
          <w:b w:val="0"/>
          <w:color w:val="auto"/>
          <w:sz w:val="24"/>
        </w:rPr>
      </w:pPr>
      <w:r w:rsidRPr="007304A7">
        <w:rPr>
          <w:rFonts w:ascii="Arial" w:hAnsi="Arial" w:cs="Arial"/>
          <w:b w:val="0"/>
          <w:color w:val="auto"/>
          <w:sz w:val="24"/>
        </w:rPr>
        <w:t>Retired people, previously grade B, and their widows</w:t>
      </w:r>
    </w:p>
    <w:p w:rsidR="007304A7" w:rsidRPr="007304A7" w:rsidRDefault="007304A7" w:rsidP="007304A7">
      <w:pPr>
        <w:pStyle w:val="BodyText"/>
        <w:tabs>
          <w:tab w:val="left" w:pos="567"/>
        </w:tabs>
        <w:ind w:left="850"/>
        <w:jc w:val="left"/>
        <w:rPr>
          <w:rFonts w:ascii="Arial" w:hAnsi="Arial" w:cs="Arial"/>
          <w:color w:val="auto"/>
          <w:sz w:val="24"/>
        </w:rPr>
      </w:pPr>
    </w:p>
    <w:p w:rsidR="007304A7" w:rsidRPr="007304A7" w:rsidRDefault="007304A7" w:rsidP="007304A7">
      <w:pPr>
        <w:pStyle w:val="BodyText"/>
        <w:tabs>
          <w:tab w:val="left" w:pos="567"/>
        </w:tabs>
        <w:ind w:left="567"/>
        <w:jc w:val="left"/>
        <w:rPr>
          <w:rFonts w:ascii="Arial" w:hAnsi="Arial" w:cs="Arial"/>
          <w:color w:val="auto"/>
          <w:sz w:val="24"/>
        </w:rPr>
      </w:pPr>
      <w:r w:rsidRPr="007304A7">
        <w:rPr>
          <w:rFonts w:ascii="Arial" w:hAnsi="Arial" w:cs="Arial"/>
          <w:color w:val="auto"/>
          <w:sz w:val="24"/>
        </w:rPr>
        <w:t>Group C1</w:t>
      </w:r>
    </w:p>
    <w:p w:rsidR="007304A7" w:rsidRPr="007304A7" w:rsidRDefault="007304A7" w:rsidP="00343155">
      <w:pPr>
        <w:pStyle w:val="BodyText"/>
        <w:numPr>
          <w:ilvl w:val="0"/>
          <w:numId w:val="4"/>
        </w:numPr>
        <w:tabs>
          <w:tab w:val="clear" w:pos="360"/>
          <w:tab w:val="left" w:pos="567"/>
          <w:tab w:val="num" w:pos="643"/>
          <w:tab w:val="num" w:pos="709"/>
        </w:tabs>
        <w:ind w:left="709" w:hanging="142"/>
        <w:jc w:val="left"/>
        <w:rPr>
          <w:rFonts w:ascii="Arial" w:hAnsi="Arial" w:cs="Arial"/>
          <w:b w:val="0"/>
          <w:color w:val="auto"/>
          <w:sz w:val="24"/>
        </w:rPr>
      </w:pPr>
      <w:r w:rsidRPr="007304A7">
        <w:rPr>
          <w:rFonts w:ascii="Arial" w:hAnsi="Arial" w:cs="Arial"/>
          <w:b w:val="0"/>
          <w:color w:val="auto"/>
          <w:sz w:val="24"/>
        </w:rPr>
        <w:t>Junior management, owners of small establishments, and all others in non-manual positions</w:t>
      </w:r>
    </w:p>
    <w:p w:rsidR="007304A7" w:rsidRPr="007304A7" w:rsidRDefault="007304A7" w:rsidP="00343155">
      <w:pPr>
        <w:pStyle w:val="BodyText"/>
        <w:numPr>
          <w:ilvl w:val="0"/>
          <w:numId w:val="4"/>
        </w:numPr>
        <w:tabs>
          <w:tab w:val="clear" w:pos="360"/>
          <w:tab w:val="left" w:pos="567"/>
          <w:tab w:val="num" w:pos="643"/>
          <w:tab w:val="num" w:pos="709"/>
        </w:tabs>
        <w:ind w:left="709" w:hanging="142"/>
        <w:jc w:val="left"/>
        <w:rPr>
          <w:rFonts w:ascii="Arial" w:hAnsi="Arial" w:cs="Arial"/>
          <w:b w:val="0"/>
          <w:color w:val="auto"/>
          <w:sz w:val="24"/>
        </w:rPr>
      </w:pPr>
      <w:r w:rsidRPr="007304A7">
        <w:rPr>
          <w:rFonts w:ascii="Arial" w:hAnsi="Arial" w:cs="Arial"/>
          <w:b w:val="0"/>
          <w:color w:val="auto"/>
          <w:sz w:val="24"/>
        </w:rPr>
        <w:t>Jobs in this group have very varied responsibilities and educational requirements</w:t>
      </w:r>
    </w:p>
    <w:p w:rsidR="007304A7" w:rsidRPr="007304A7" w:rsidRDefault="007304A7" w:rsidP="00343155">
      <w:pPr>
        <w:pStyle w:val="BodyText"/>
        <w:numPr>
          <w:ilvl w:val="0"/>
          <w:numId w:val="4"/>
        </w:numPr>
        <w:tabs>
          <w:tab w:val="clear" w:pos="360"/>
          <w:tab w:val="left" w:pos="567"/>
          <w:tab w:val="num" w:pos="643"/>
          <w:tab w:val="num" w:pos="709"/>
        </w:tabs>
        <w:ind w:left="850" w:hanging="283"/>
        <w:jc w:val="left"/>
        <w:rPr>
          <w:rFonts w:ascii="Arial" w:hAnsi="Arial" w:cs="Arial"/>
          <w:b w:val="0"/>
          <w:color w:val="auto"/>
          <w:sz w:val="24"/>
        </w:rPr>
      </w:pPr>
      <w:r w:rsidRPr="007304A7">
        <w:rPr>
          <w:rFonts w:ascii="Arial" w:hAnsi="Arial" w:cs="Arial"/>
          <w:b w:val="0"/>
          <w:color w:val="auto"/>
          <w:sz w:val="24"/>
        </w:rPr>
        <w:t>Retired people, previously grade C1, and their widows</w:t>
      </w:r>
    </w:p>
    <w:p w:rsidR="007304A7" w:rsidRPr="007304A7" w:rsidRDefault="007304A7" w:rsidP="007304A7">
      <w:pPr>
        <w:pStyle w:val="BodyText"/>
        <w:tabs>
          <w:tab w:val="left" w:pos="567"/>
        </w:tabs>
        <w:ind w:left="850"/>
        <w:jc w:val="left"/>
        <w:rPr>
          <w:rFonts w:ascii="Arial" w:hAnsi="Arial" w:cs="Arial"/>
          <w:color w:val="auto"/>
          <w:sz w:val="24"/>
        </w:rPr>
      </w:pPr>
    </w:p>
    <w:p w:rsidR="007304A7" w:rsidRPr="007304A7" w:rsidRDefault="007304A7" w:rsidP="007304A7">
      <w:pPr>
        <w:pStyle w:val="BodyText"/>
        <w:tabs>
          <w:tab w:val="left" w:pos="567"/>
        </w:tabs>
        <w:ind w:left="567"/>
        <w:jc w:val="left"/>
        <w:rPr>
          <w:rFonts w:ascii="Arial" w:hAnsi="Arial" w:cs="Arial"/>
          <w:color w:val="auto"/>
          <w:sz w:val="24"/>
        </w:rPr>
      </w:pPr>
      <w:r w:rsidRPr="007304A7">
        <w:rPr>
          <w:rFonts w:ascii="Arial" w:hAnsi="Arial" w:cs="Arial"/>
          <w:color w:val="auto"/>
          <w:sz w:val="24"/>
        </w:rPr>
        <w:t>Group C2</w:t>
      </w:r>
    </w:p>
    <w:p w:rsidR="00584303" w:rsidRDefault="007304A7" w:rsidP="00584303">
      <w:pPr>
        <w:pStyle w:val="BodyText"/>
        <w:numPr>
          <w:ilvl w:val="0"/>
          <w:numId w:val="5"/>
        </w:numPr>
        <w:tabs>
          <w:tab w:val="clear" w:pos="360"/>
          <w:tab w:val="left" w:pos="567"/>
          <w:tab w:val="num" w:pos="643"/>
        </w:tabs>
        <w:ind w:left="709" w:hanging="142"/>
        <w:jc w:val="left"/>
        <w:rPr>
          <w:rFonts w:ascii="Arial" w:hAnsi="Arial" w:cs="Arial"/>
          <w:b w:val="0"/>
          <w:color w:val="auto"/>
          <w:sz w:val="24"/>
        </w:rPr>
      </w:pPr>
      <w:r w:rsidRPr="007304A7">
        <w:rPr>
          <w:rFonts w:ascii="Arial" w:hAnsi="Arial" w:cs="Arial"/>
          <w:b w:val="0"/>
          <w:color w:val="auto"/>
          <w:sz w:val="24"/>
        </w:rPr>
        <w:t>All skilled manual workers, and those manual workers with responsibility for other people</w:t>
      </w:r>
    </w:p>
    <w:p w:rsidR="00584303" w:rsidRDefault="007304A7" w:rsidP="00584303">
      <w:pPr>
        <w:pStyle w:val="BodyText"/>
        <w:numPr>
          <w:ilvl w:val="0"/>
          <w:numId w:val="5"/>
        </w:numPr>
        <w:tabs>
          <w:tab w:val="clear" w:pos="360"/>
          <w:tab w:val="left" w:pos="567"/>
          <w:tab w:val="num" w:pos="643"/>
        </w:tabs>
        <w:ind w:left="709" w:hanging="142"/>
        <w:jc w:val="left"/>
        <w:rPr>
          <w:rFonts w:ascii="Arial" w:hAnsi="Arial" w:cs="Arial"/>
          <w:b w:val="0"/>
          <w:color w:val="auto"/>
          <w:sz w:val="24"/>
        </w:rPr>
      </w:pPr>
      <w:r w:rsidRPr="00584303">
        <w:rPr>
          <w:rFonts w:ascii="Arial" w:hAnsi="Arial" w:cs="Arial"/>
          <w:b w:val="0"/>
          <w:color w:val="auto"/>
          <w:sz w:val="24"/>
        </w:rPr>
        <w:t>Retired people, previously grade C2, with pensions from their job</w:t>
      </w:r>
    </w:p>
    <w:p w:rsidR="007304A7" w:rsidRPr="00584303" w:rsidRDefault="007304A7" w:rsidP="00584303">
      <w:pPr>
        <w:pStyle w:val="BodyText"/>
        <w:numPr>
          <w:ilvl w:val="0"/>
          <w:numId w:val="5"/>
        </w:numPr>
        <w:tabs>
          <w:tab w:val="clear" w:pos="360"/>
          <w:tab w:val="left" w:pos="567"/>
          <w:tab w:val="num" w:pos="643"/>
        </w:tabs>
        <w:ind w:left="709" w:hanging="142"/>
        <w:jc w:val="left"/>
        <w:rPr>
          <w:rFonts w:ascii="Arial" w:hAnsi="Arial" w:cs="Arial"/>
          <w:b w:val="0"/>
          <w:color w:val="auto"/>
          <w:sz w:val="24"/>
        </w:rPr>
      </w:pPr>
      <w:r w:rsidRPr="00584303">
        <w:rPr>
          <w:rFonts w:ascii="Arial" w:hAnsi="Arial" w:cs="Arial"/>
          <w:b w:val="0"/>
          <w:color w:val="auto"/>
          <w:sz w:val="24"/>
        </w:rPr>
        <w:t>Widows, if receiving pensions from their late partner’s job</w:t>
      </w:r>
    </w:p>
    <w:p w:rsidR="007304A7" w:rsidRPr="007304A7" w:rsidRDefault="007304A7" w:rsidP="007304A7">
      <w:pPr>
        <w:pStyle w:val="BodyText"/>
        <w:tabs>
          <w:tab w:val="left" w:pos="567"/>
        </w:tabs>
        <w:ind w:left="850"/>
        <w:jc w:val="left"/>
        <w:rPr>
          <w:rFonts w:ascii="Arial" w:hAnsi="Arial" w:cs="Arial"/>
          <w:color w:val="auto"/>
          <w:sz w:val="24"/>
        </w:rPr>
      </w:pPr>
    </w:p>
    <w:p w:rsidR="007304A7" w:rsidRPr="007304A7" w:rsidRDefault="007304A7" w:rsidP="007304A7">
      <w:pPr>
        <w:pStyle w:val="BodyText"/>
        <w:tabs>
          <w:tab w:val="left" w:pos="567"/>
        </w:tabs>
        <w:ind w:left="567"/>
        <w:jc w:val="left"/>
        <w:rPr>
          <w:rFonts w:ascii="Arial" w:hAnsi="Arial" w:cs="Arial"/>
          <w:color w:val="auto"/>
          <w:sz w:val="24"/>
        </w:rPr>
      </w:pPr>
      <w:r w:rsidRPr="007304A7">
        <w:rPr>
          <w:rFonts w:ascii="Arial" w:hAnsi="Arial" w:cs="Arial"/>
          <w:color w:val="auto"/>
          <w:sz w:val="24"/>
        </w:rPr>
        <w:t>Group D</w:t>
      </w:r>
    </w:p>
    <w:p w:rsidR="00584303" w:rsidRDefault="007304A7" w:rsidP="00584303">
      <w:pPr>
        <w:pStyle w:val="BodyText"/>
        <w:numPr>
          <w:ilvl w:val="0"/>
          <w:numId w:val="6"/>
        </w:numPr>
        <w:tabs>
          <w:tab w:val="clear" w:pos="360"/>
          <w:tab w:val="left" w:pos="567"/>
          <w:tab w:val="num" w:pos="643"/>
        </w:tabs>
        <w:ind w:left="709" w:hanging="142"/>
        <w:jc w:val="left"/>
        <w:rPr>
          <w:rFonts w:ascii="Arial" w:hAnsi="Arial" w:cs="Arial"/>
          <w:b w:val="0"/>
          <w:color w:val="auto"/>
          <w:sz w:val="24"/>
        </w:rPr>
      </w:pPr>
      <w:r w:rsidRPr="007304A7">
        <w:rPr>
          <w:rFonts w:ascii="Arial" w:hAnsi="Arial" w:cs="Arial"/>
          <w:b w:val="0"/>
          <w:color w:val="auto"/>
          <w:sz w:val="24"/>
        </w:rPr>
        <w:t xml:space="preserve">All </w:t>
      </w:r>
      <w:proofErr w:type="spellStart"/>
      <w:r w:rsidRPr="007304A7">
        <w:rPr>
          <w:rFonts w:ascii="Arial" w:hAnsi="Arial" w:cs="Arial"/>
          <w:b w:val="0"/>
          <w:color w:val="auto"/>
          <w:sz w:val="24"/>
        </w:rPr>
        <w:t>semi skilled</w:t>
      </w:r>
      <w:proofErr w:type="spellEnd"/>
      <w:r w:rsidRPr="007304A7">
        <w:rPr>
          <w:rFonts w:ascii="Arial" w:hAnsi="Arial" w:cs="Arial"/>
          <w:b w:val="0"/>
          <w:color w:val="auto"/>
          <w:sz w:val="24"/>
        </w:rPr>
        <w:t xml:space="preserve"> and unskilled manual workers, and apprentices and trainees to skilled workers</w:t>
      </w:r>
    </w:p>
    <w:p w:rsidR="00584303" w:rsidRDefault="007304A7" w:rsidP="00584303">
      <w:pPr>
        <w:pStyle w:val="BodyText"/>
        <w:numPr>
          <w:ilvl w:val="0"/>
          <w:numId w:val="6"/>
        </w:numPr>
        <w:tabs>
          <w:tab w:val="clear" w:pos="360"/>
          <w:tab w:val="left" w:pos="567"/>
          <w:tab w:val="num" w:pos="643"/>
        </w:tabs>
        <w:ind w:left="709" w:hanging="142"/>
        <w:jc w:val="left"/>
        <w:rPr>
          <w:rFonts w:ascii="Arial" w:hAnsi="Arial" w:cs="Arial"/>
          <w:b w:val="0"/>
          <w:color w:val="auto"/>
          <w:sz w:val="24"/>
        </w:rPr>
      </w:pPr>
      <w:r w:rsidRPr="00584303">
        <w:rPr>
          <w:rFonts w:ascii="Arial" w:hAnsi="Arial" w:cs="Arial"/>
          <w:b w:val="0"/>
          <w:color w:val="auto"/>
          <w:sz w:val="24"/>
        </w:rPr>
        <w:t>Retired people, previously grade D, with pensions from their late job</w:t>
      </w:r>
    </w:p>
    <w:p w:rsidR="007304A7" w:rsidRPr="00584303" w:rsidRDefault="007304A7" w:rsidP="00584303">
      <w:pPr>
        <w:pStyle w:val="BodyText"/>
        <w:numPr>
          <w:ilvl w:val="0"/>
          <w:numId w:val="6"/>
        </w:numPr>
        <w:tabs>
          <w:tab w:val="clear" w:pos="360"/>
          <w:tab w:val="left" w:pos="567"/>
          <w:tab w:val="num" w:pos="643"/>
        </w:tabs>
        <w:ind w:left="709" w:hanging="142"/>
        <w:jc w:val="left"/>
        <w:rPr>
          <w:rFonts w:ascii="Arial" w:hAnsi="Arial" w:cs="Arial"/>
          <w:b w:val="0"/>
          <w:color w:val="auto"/>
          <w:sz w:val="24"/>
        </w:rPr>
      </w:pPr>
      <w:r w:rsidRPr="00584303">
        <w:rPr>
          <w:rFonts w:ascii="Arial" w:hAnsi="Arial" w:cs="Arial"/>
          <w:b w:val="0"/>
          <w:color w:val="auto"/>
          <w:sz w:val="24"/>
        </w:rPr>
        <w:t>Widows, if receiving pensions from their late partner’s job</w:t>
      </w:r>
    </w:p>
    <w:p w:rsidR="007304A7" w:rsidRPr="007304A7" w:rsidRDefault="007304A7" w:rsidP="007304A7">
      <w:pPr>
        <w:pStyle w:val="BodyText"/>
        <w:tabs>
          <w:tab w:val="left" w:pos="567"/>
        </w:tabs>
        <w:ind w:left="850"/>
        <w:jc w:val="left"/>
        <w:rPr>
          <w:rFonts w:ascii="Arial" w:hAnsi="Arial" w:cs="Arial"/>
          <w:color w:val="auto"/>
          <w:sz w:val="24"/>
        </w:rPr>
      </w:pPr>
    </w:p>
    <w:p w:rsidR="007304A7" w:rsidRPr="007304A7" w:rsidRDefault="007304A7" w:rsidP="007304A7">
      <w:pPr>
        <w:pStyle w:val="BodyText"/>
        <w:tabs>
          <w:tab w:val="left" w:pos="567"/>
        </w:tabs>
        <w:ind w:left="567"/>
        <w:jc w:val="left"/>
        <w:rPr>
          <w:rFonts w:ascii="Arial" w:hAnsi="Arial" w:cs="Arial"/>
          <w:color w:val="auto"/>
          <w:sz w:val="24"/>
        </w:rPr>
      </w:pPr>
      <w:r w:rsidRPr="007304A7">
        <w:rPr>
          <w:rFonts w:ascii="Arial" w:hAnsi="Arial" w:cs="Arial"/>
          <w:color w:val="auto"/>
          <w:sz w:val="24"/>
        </w:rPr>
        <w:t>Group E</w:t>
      </w:r>
    </w:p>
    <w:p w:rsidR="007304A7" w:rsidRPr="007304A7" w:rsidRDefault="007304A7" w:rsidP="00343155">
      <w:pPr>
        <w:pStyle w:val="BodyText"/>
        <w:numPr>
          <w:ilvl w:val="0"/>
          <w:numId w:val="7"/>
        </w:numPr>
        <w:tabs>
          <w:tab w:val="left" w:pos="567"/>
        </w:tabs>
        <w:ind w:left="709" w:hanging="142"/>
        <w:jc w:val="left"/>
        <w:rPr>
          <w:rFonts w:ascii="Arial" w:hAnsi="Arial" w:cs="Arial"/>
          <w:b w:val="0"/>
          <w:color w:val="auto"/>
          <w:sz w:val="24"/>
        </w:rPr>
      </w:pPr>
      <w:r w:rsidRPr="007304A7">
        <w:rPr>
          <w:rFonts w:ascii="Arial" w:hAnsi="Arial" w:cs="Arial"/>
          <w:b w:val="0"/>
          <w:color w:val="auto"/>
          <w:sz w:val="24"/>
        </w:rPr>
        <w:t>All those entirely dependent on the state long term, through sickness, unemployment, old age or other reasons</w:t>
      </w:r>
    </w:p>
    <w:p w:rsidR="007304A7" w:rsidRPr="007304A7" w:rsidRDefault="007304A7" w:rsidP="00343155">
      <w:pPr>
        <w:pStyle w:val="BodyText"/>
        <w:numPr>
          <w:ilvl w:val="0"/>
          <w:numId w:val="7"/>
        </w:numPr>
        <w:tabs>
          <w:tab w:val="left" w:pos="567"/>
        </w:tabs>
        <w:ind w:left="709" w:hanging="142"/>
        <w:jc w:val="left"/>
        <w:rPr>
          <w:rFonts w:ascii="Arial" w:hAnsi="Arial" w:cs="Arial"/>
          <w:b w:val="0"/>
          <w:color w:val="auto"/>
          <w:sz w:val="24"/>
        </w:rPr>
      </w:pPr>
      <w:r w:rsidRPr="007304A7">
        <w:rPr>
          <w:rFonts w:ascii="Arial" w:hAnsi="Arial" w:cs="Arial"/>
          <w:b w:val="0"/>
          <w:color w:val="auto"/>
          <w:sz w:val="24"/>
        </w:rPr>
        <w:t>Those unemployed for a period exceeding six months (otherwise classified on previous occupation)</w:t>
      </w:r>
    </w:p>
    <w:p w:rsidR="00FF32CC" w:rsidRPr="00691147" w:rsidRDefault="007304A7" w:rsidP="00691147">
      <w:pPr>
        <w:pStyle w:val="BodyText"/>
        <w:numPr>
          <w:ilvl w:val="0"/>
          <w:numId w:val="7"/>
        </w:numPr>
        <w:tabs>
          <w:tab w:val="left" w:pos="567"/>
        </w:tabs>
        <w:ind w:left="709" w:hanging="142"/>
        <w:jc w:val="left"/>
        <w:rPr>
          <w:rFonts w:ascii="Arial" w:hAnsi="Arial" w:cs="Arial"/>
          <w:b w:val="0"/>
          <w:color w:val="auto"/>
          <w:sz w:val="24"/>
        </w:rPr>
      </w:pPr>
      <w:r w:rsidRPr="007304A7">
        <w:rPr>
          <w:rFonts w:ascii="Arial" w:hAnsi="Arial" w:cs="Arial"/>
          <w:b w:val="0"/>
          <w:color w:val="auto"/>
          <w:sz w:val="24"/>
        </w:rPr>
        <w:t>Casual workers and those without a regular income</w:t>
      </w:r>
    </w:p>
    <w:p w:rsidR="007304A7" w:rsidRDefault="00FF32CC" w:rsidP="00691147">
      <w:pPr>
        <w:pStyle w:val="Heading1"/>
      </w:pPr>
      <w:bookmarkStart w:id="70" w:name="_Toc377634297"/>
      <w:r>
        <w:t>Appendix 2: marked up questionnaire</w:t>
      </w:r>
      <w:bookmarkEnd w:id="70"/>
    </w:p>
    <w:tbl>
      <w:tblPr>
        <w:tblW w:w="9360" w:type="dxa"/>
        <w:tblInd w:w="98" w:type="dxa"/>
        <w:tblLook w:val="04A0" w:firstRow="1" w:lastRow="0" w:firstColumn="1" w:lastColumn="0" w:noHBand="0" w:noVBand="1"/>
      </w:tblPr>
      <w:tblGrid>
        <w:gridCol w:w="4536"/>
        <w:gridCol w:w="2444"/>
        <w:gridCol w:w="2380"/>
      </w:tblGrid>
      <w:tr w:rsidR="00EB4503" w:rsidRPr="00EB4503" w:rsidTr="001D1036">
        <w:trPr>
          <w:trHeight w:val="284"/>
        </w:trPr>
        <w:tc>
          <w:tcPr>
            <w:tcW w:w="9360" w:type="dxa"/>
            <w:gridSpan w:val="3"/>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EB4503" w:rsidRPr="00EB4503" w:rsidRDefault="00EB4503" w:rsidP="00584303">
            <w:pPr>
              <w:spacing w:after="0"/>
              <w:rPr>
                <w:rFonts w:eastAsia="Times New Roman" w:cs="Arial"/>
                <w:b/>
                <w:bCs/>
                <w:lang w:eastAsia="en-GB"/>
              </w:rPr>
            </w:pPr>
            <w:r w:rsidRPr="00EB4503">
              <w:rPr>
                <w:rFonts w:eastAsia="Times New Roman" w:cs="Arial"/>
                <w:b/>
                <w:bCs/>
                <w:lang w:eastAsia="en-GB"/>
              </w:rPr>
              <w:t>Which three or four of the following should be the highest/lowest spending priorities for spending in the coming years?</w:t>
            </w:r>
          </w:p>
        </w:tc>
      </w:tr>
      <w:tr w:rsidR="00EB4503" w:rsidRPr="00EB4503" w:rsidTr="001D1036">
        <w:trPr>
          <w:trHeight w:val="397"/>
        </w:trPr>
        <w:tc>
          <w:tcPr>
            <w:tcW w:w="4536" w:type="dxa"/>
            <w:tcBorders>
              <w:top w:val="nil"/>
              <w:left w:val="single" w:sz="8" w:space="0" w:color="auto"/>
              <w:bottom w:val="single" w:sz="8" w:space="0" w:color="auto"/>
              <w:right w:val="nil"/>
            </w:tcBorders>
            <w:shd w:val="clear" w:color="000000" w:fill="FFFFFF"/>
            <w:vAlign w:val="bottom"/>
            <w:hideMark/>
          </w:tcPr>
          <w:p w:rsidR="00EB4503" w:rsidRPr="00EB4503" w:rsidRDefault="00EB4503" w:rsidP="00EB4503">
            <w:pPr>
              <w:spacing w:after="0"/>
              <w:rPr>
                <w:rFonts w:ascii="Calibri" w:eastAsia="Times New Roman" w:hAnsi="Calibri" w:cs="Arial"/>
                <w:sz w:val="22"/>
                <w:szCs w:val="22"/>
                <w:lang w:eastAsia="en-GB"/>
              </w:rPr>
            </w:pPr>
            <w:r w:rsidRPr="00EB4503">
              <w:rPr>
                <w:rFonts w:ascii="Calibri" w:eastAsia="Times New Roman" w:hAnsi="Calibri" w:cs="Arial"/>
                <w:sz w:val="22"/>
                <w:szCs w:val="22"/>
                <w:lang w:eastAsia="en-GB"/>
              </w:rPr>
              <w:t> </w:t>
            </w:r>
          </w:p>
        </w:tc>
        <w:tc>
          <w:tcPr>
            <w:tcW w:w="2444" w:type="dxa"/>
            <w:tcBorders>
              <w:top w:val="nil"/>
              <w:left w:val="single" w:sz="8" w:space="0" w:color="auto"/>
              <w:bottom w:val="single" w:sz="8" w:space="0" w:color="auto"/>
              <w:right w:val="single" w:sz="8" w:space="0" w:color="auto"/>
            </w:tcBorders>
            <w:shd w:val="clear" w:color="000000" w:fill="FFFFFF"/>
            <w:noWrap/>
            <w:vAlign w:val="center"/>
            <w:hideMark/>
          </w:tcPr>
          <w:p w:rsidR="00EB4503" w:rsidRPr="00EB4503" w:rsidRDefault="00EB4503" w:rsidP="001D1036">
            <w:pPr>
              <w:spacing w:after="0"/>
              <w:jc w:val="center"/>
              <w:rPr>
                <w:rFonts w:eastAsia="Times New Roman" w:cs="Arial"/>
                <w:b/>
                <w:bCs/>
                <w:lang w:eastAsia="en-GB"/>
              </w:rPr>
            </w:pPr>
            <w:r w:rsidRPr="00EB4503">
              <w:rPr>
                <w:rFonts w:eastAsia="Times New Roman" w:cs="Arial"/>
                <w:b/>
                <w:bCs/>
                <w:lang w:eastAsia="en-GB"/>
              </w:rPr>
              <w:t>Highest priorities</w:t>
            </w:r>
          </w:p>
        </w:tc>
        <w:tc>
          <w:tcPr>
            <w:tcW w:w="2380" w:type="dxa"/>
            <w:tcBorders>
              <w:top w:val="nil"/>
              <w:left w:val="nil"/>
              <w:bottom w:val="single" w:sz="8" w:space="0" w:color="auto"/>
              <w:right w:val="single" w:sz="8" w:space="0" w:color="auto"/>
            </w:tcBorders>
            <w:shd w:val="clear" w:color="000000" w:fill="FFFFFF"/>
            <w:noWrap/>
            <w:vAlign w:val="center"/>
            <w:hideMark/>
          </w:tcPr>
          <w:p w:rsidR="00EB4503" w:rsidRPr="00EB4503" w:rsidRDefault="00EB4503" w:rsidP="001D1036">
            <w:pPr>
              <w:spacing w:after="0"/>
              <w:jc w:val="center"/>
              <w:rPr>
                <w:rFonts w:eastAsia="Times New Roman" w:cs="Arial"/>
                <w:b/>
                <w:bCs/>
                <w:lang w:eastAsia="en-GB"/>
              </w:rPr>
            </w:pPr>
            <w:r w:rsidRPr="00EB4503">
              <w:rPr>
                <w:rFonts w:eastAsia="Times New Roman" w:cs="Arial"/>
                <w:b/>
                <w:bCs/>
                <w:lang w:eastAsia="en-GB"/>
              </w:rPr>
              <w:t>Lowest priorities</w:t>
            </w:r>
          </w:p>
        </w:tc>
      </w:tr>
      <w:tr w:rsidR="00EB4503" w:rsidRPr="00EB4503" w:rsidTr="001D1036">
        <w:trPr>
          <w:trHeight w:hRule="exact" w:val="56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Services for older people (including care in their own homes and in residential homes)</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60%</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w:t>
            </w:r>
          </w:p>
        </w:tc>
      </w:tr>
      <w:tr w:rsidR="00EB4503" w:rsidRPr="00EB4503" w:rsidTr="001D1036">
        <w:trPr>
          <w:trHeight w:hRule="exact" w:val="56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Repairing roads and bridges (including emergencies and fixing potholes)</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45%</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4%</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Primary and secondary education</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45%</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4%</w:t>
            </w:r>
          </w:p>
        </w:tc>
      </w:tr>
      <w:tr w:rsidR="00EB4503" w:rsidRPr="00EB4503" w:rsidTr="001D1036">
        <w:trPr>
          <w:trHeight w:val="851"/>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Crime prevention (working with partner organisations to help prevent crime and disorder and reduce the fear of crime)</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39%</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3%</w:t>
            </w:r>
          </w:p>
        </w:tc>
      </w:tr>
      <w:tr w:rsidR="00EB4503" w:rsidRPr="00EB4503" w:rsidTr="001D1036">
        <w:trPr>
          <w:trHeight w:val="56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Children's social care (protecting vulnerable children)</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33%</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4%</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Keeping local bus services running</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29%</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8%</w:t>
            </w:r>
          </w:p>
        </w:tc>
      </w:tr>
      <w:tr w:rsidR="00EB4503" w:rsidRPr="00EB4503" w:rsidTr="001D1036">
        <w:trPr>
          <w:trHeight w:val="56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Support for businesses and attracting investment to Lancashire</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27%</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13%</w:t>
            </w:r>
          </w:p>
        </w:tc>
      </w:tr>
      <w:tr w:rsidR="00EB4503" w:rsidRPr="00EB4503" w:rsidTr="001D1036">
        <w:trPr>
          <w:trHeight w:val="56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Waste management (household waste disposal and recycling)</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24%</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8%</w:t>
            </w:r>
          </w:p>
        </w:tc>
      </w:tr>
      <w:tr w:rsidR="00EB4503" w:rsidRPr="00EB4503" w:rsidTr="001D1036">
        <w:trPr>
          <w:trHeight w:val="56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Traffic management (making road travel safer and reducing congestion)</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22%</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16%</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Services for adults with disabilities</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22%</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4%</w:t>
            </w:r>
          </w:p>
        </w:tc>
      </w:tr>
      <w:tr w:rsidR="00EB4503" w:rsidRPr="00EB4503" w:rsidTr="001D1036">
        <w:trPr>
          <w:trHeight w:val="56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Pupils who are socially disadvantaged and children with special educational needs</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19%</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5%</w:t>
            </w:r>
          </w:p>
        </w:tc>
      </w:tr>
      <w:tr w:rsidR="00EB4503" w:rsidRPr="00EB4503" w:rsidTr="001D1036">
        <w:trPr>
          <w:trHeight w:val="56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Welfare rights (helping people get the financial support they are entitled to)</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15%</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26%</w:t>
            </w:r>
          </w:p>
        </w:tc>
      </w:tr>
      <w:tr w:rsidR="00EB4503" w:rsidRPr="00EB4503" w:rsidTr="001D1036">
        <w:trPr>
          <w:trHeight w:val="56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Youth and community services (activities and support for young people)</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14%</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11%</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Country parks, open spaces and picnic sites</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13%</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28%</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Nursery education</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11%</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19%</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Libraries</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10%</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22%</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Adult education</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6%</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27%</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Trading standards (consumer protection)</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6%</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24%</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Museums</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3%</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45%</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Don't know</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13%</w:t>
            </w:r>
          </w:p>
        </w:tc>
      </w:tr>
      <w:tr w:rsidR="00EB4503" w:rsidRPr="00EB4503" w:rsidTr="001D1036">
        <w:trPr>
          <w:trHeight w:val="34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sz w:val="20"/>
                <w:szCs w:val="20"/>
                <w:lang w:eastAsia="en-GB"/>
              </w:rPr>
            </w:pPr>
            <w:r w:rsidRPr="00EB4503">
              <w:rPr>
                <w:rFonts w:eastAsia="Times New Roman" w:cs="Arial"/>
                <w:sz w:val="20"/>
                <w:szCs w:val="20"/>
                <w:lang w:eastAsia="en-GB"/>
              </w:rPr>
              <w:t>None of these</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0%</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sz w:val="20"/>
                <w:szCs w:val="20"/>
                <w:lang w:eastAsia="en-GB"/>
              </w:rPr>
            </w:pPr>
            <w:r w:rsidRPr="00EB4503">
              <w:rPr>
                <w:rFonts w:eastAsia="Times New Roman" w:cs="Arial"/>
                <w:sz w:val="20"/>
                <w:szCs w:val="20"/>
                <w:lang w:eastAsia="en-GB"/>
              </w:rPr>
              <w:t>7%</w:t>
            </w:r>
          </w:p>
        </w:tc>
      </w:tr>
      <w:tr w:rsidR="00EB4503" w:rsidRPr="00EB4503" w:rsidTr="001D1036">
        <w:trPr>
          <w:trHeight w:val="39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1D1036">
            <w:pPr>
              <w:spacing w:after="0"/>
              <w:rPr>
                <w:rFonts w:eastAsia="Times New Roman" w:cs="Arial"/>
                <w:b/>
                <w:bCs/>
                <w:sz w:val="20"/>
                <w:szCs w:val="20"/>
                <w:lang w:eastAsia="en-GB"/>
              </w:rPr>
            </w:pPr>
            <w:proofErr w:type="spellStart"/>
            <w:r w:rsidRPr="00EB4503">
              <w:rPr>
                <w:rFonts w:eastAsia="Times New Roman" w:cs="Arial"/>
                <w:b/>
                <w:bCs/>
                <w:sz w:val="20"/>
                <w:szCs w:val="20"/>
                <w:lang w:eastAsia="en-GB"/>
              </w:rPr>
              <w:t>Unweighted</w:t>
            </w:r>
            <w:proofErr w:type="spellEnd"/>
            <w:r w:rsidRPr="00EB4503">
              <w:rPr>
                <w:rFonts w:eastAsia="Times New Roman" w:cs="Arial"/>
                <w:b/>
                <w:bCs/>
                <w:sz w:val="20"/>
                <w:szCs w:val="20"/>
                <w:lang w:eastAsia="en-GB"/>
              </w:rPr>
              <w:t xml:space="preserve"> base</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b/>
                <w:bCs/>
                <w:sz w:val="20"/>
                <w:szCs w:val="20"/>
                <w:lang w:eastAsia="en-GB"/>
              </w:rPr>
            </w:pPr>
            <w:r w:rsidRPr="00EB4503">
              <w:rPr>
                <w:rFonts w:eastAsia="Times New Roman" w:cs="Arial"/>
                <w:b/>
                <w:bCs/>
                <w:sz w:val="20"/>
                <w:szCs w:val="20"/>
                <w:lang w:eastAsia="en-GB"/>
              </w:rPr>
              <w:t>1,230</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b/>
                <w:bCs/>
                <w:sz w:val="20"/>
                <w:szCs w:val="20"/>
                <w:lang w:eastAsia="en-GB"/>
              </w:rPr>
            </w:pPr>
            <w:r w:rsidRPr="00EB4503">
              <w:rPr>
                <w:rFonts w:eastAsia="Times New Roman" w:cs="Arial"/>
                <w:b/>
                <w:bCs/>
                <w:sz w:val="20"/>
                <w:szCs w:val="20"/>
                <w:lang w:eastAsia="en-GB"/>
              </w:rPr>
              <w:t>1,151</w:t>
            </w:r>
          </w:p>
        </w:tc>
      </w:tr>
      <w:tr w:rsidR="00EB4503" w:rsidRPr="00EB4503" w:rsidTr="001D1036">
        <w:trPr>
          <w:trHeight w:val="397"/>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rsidR="00EB4503" w:rsidRPr="00EB4503" w:rsidRDefault="00EB4503" w:rsidP="001D1036">
            <w:pPr>
              <w:spacing w:after="0"/>
              <w:rPr>
                <w:rFonts w:eastAsia="Times New Roman" w:cs="Arial"/>
                <w:b/>
                <w:bCs/>
                <w:sz w:val="20"/>
                <w:szCs w:val="20"/>
                <w:lang w:eastAsia="en-GB"/>
              </w:rPr>
            </w:pPr>
            <w:r w:rsidRPr="00EB4503">
              <w:rPr>
                <w:rFonts w:eastAsia="Times New Roman" w:cs="Arial"/>
                <w:b/>
                <w:bCs/>
                <w:sz w:val="20"/>
                <w:szCs w:val="20"/>
                <w:lang w:eastAsia="en-GB"/>
              </w:rPr>
              <w:t>Weighted base</w:t>
            </w:r>
          </w:p>
        </w:tc>
        <w:tc>
          <w:tcPr>
            <w:tcW w:w="2444"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b/>
                <w:bCs/>
                <w:sz w:val="20"/>
                <w:szCs w:val="20"/>
                <w:lang w:eastAsia="en-GB"/>
              </w:rPr>
            </w:pPr>
            <w:r w:rsidRPr="00EB4503">
              <w:rPr>
                <w:rFonts w:eastAsia="Times New Roman" w:cs="Arial"/>
                <w:b/>
                <w:bCs/>
                <w:sz w:val="20"/>
                <w:szCs w:val="20"/>
                <w:lang w:eastAsia="en-GB"/>
              </w:rPr>
              <w:t>854</w:t>
            </w:r>
          </w:p>
        </w:tc>
        <w:tc>
          <w:tcPr>
            <w:tcW w:w="238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1D1036">
            <w:pPr>
              <w:spacing w:after="0"/>
              <w:jc w:val="center"/>
              <w:rPr>
                <w:rFonts w:eastAsia="Times New Roman" w:cs="Arial"/>
                <w:b/>
                <w:bCs/>
                <w:sz w:val="20"/>
                <w:szCs w:val="20"/>
                <w:lang w:eastAsia="en-GB"/>
              </w:rPr>
            </w:pPr>
            <w:r w:rsidRPr="00EB4503">
              <w:rPr>
                <w:rFonts w:eastAsia="Times New Roman" w:cs="Arial"/>
                <w:b/>
                <w:bCs/>
                <w:sz w:val="20"/>
                <w:szCs w:val="20"/>
                <w:lang w:eastAsia="en-GB"/>
              </w:rPr>
              <w:t>800</w:t>
            </w:r>
          </w:p>
        </w:tc>
      </w:tr>
    </w:tbl>
    <w:p w:rsidR="00EB4503" w:rsidRDefault="00EB4503" w:rsidP="00EB4503"/>
    <w:tbl>
      <w:tblPr>
        <w:tblW w:w="7760" w:type="dxa"/>
        <w:tblInd w:w="98" w:type="dxa"/>
        <w:tblLook w:val="04A0" w:firstRow="1" w:lastRow="0" w:firstColumn="1" w:lastColumn="0" w:noHBand="0" w:noVBand="1"/>
      </w:tblPr>
      <w:tblGrid>
        <w:gridCol w:w="4040"/>
        <w:gridCol w:w="3720"/>
      </w:tblGrid>
      <w:tr w:rsidR="00EB4503" w:rsidRPr="00EB4503" w:rsidTr="00DF3EC5">
        <w:trPr>
          <w:trHeight w:val="1005"/>
        </w:trPr>
        <w:tc>
          <w:tcPr>
            <w:tcW w:w="776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EB4503" w:rsidRPr="00EB4503" w:rsidRDefault="00EB4503" w:rsidP="00DF3EC5">
            <w:pPr>
              <w:spacing w:after="0"/>
              <w:rPr>
                <w:rFonts w:eastAsia="Times New Roman" w:cs="Arial"/>
                <w:b/>
                <w:bCs/>
                <w:lang w:eastAsia="en-GB"/>
              </w:rPr>
            </w:pPr>
            <w:r w:rsidRPr="00EB4503">
              <w:rPr>
                <w:rFonts w:eastAsia="Times New Roman" w:cs="Arial"/>
                <w:b/>
                <w:bCs/>
                <w:lang w:eastAsia="en-GB"/>
              </w:rPr>
              <w:t>How strongly do you agree or disagree with the following statement? I appreciate that in the current climate there are difficult budget decisions that the county council needs to make.</w:t>
            </w:r>
          </w:p>
        </w:tc>
      </w:tr>
      <w:tr w:rsidR="00EB4503" w:rsidRPr="00EB4503" w:rsidTr="00DF3EC5">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DF3EC5">
            <w:pPr>
              <w:spacing w:after="0"/>
              <w:rPr>
                <w:rFonts w:eastAsia="Times New Roman" w:cs="Arial"/>
                <w:sz w:val="20"/>
                <w:szCs w:val="20"/>
                <w:lang w:eastAsia="en-GB"/>
              </w:rPr>
            </w:pPr>
            <w:r w:rsidRPr="00EB4503">
              <w:rPr>
                <w:rFonts w:eastAsia="Times New Roman" w:cs="Arial"/>
                <w:sz w:val="20"/>
                <w:szCs w:val="20"/>
                <w:lang w:eastAsia="en-GB"/>
              </w:rPr>
              <w:t>Strongly agree</w:t>
            </w:r>
          </w:p>
        </w:tc>
        <w:tc>
          <w:tcPr>
            <w:tcW w:w="372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DF3EC5">
            <w:pPr>
              <w:spacing w:after="0"/>
              <w:jc w:val="center"/>
              <w:rPr>
                <w:rFonts w:eastAsia="Times New Roman" w:cs="Arial"/>
                <w:sz w:val="20"/>
                <w:szCs w:val="20"/>
                <w:lang w:eastAsia="en-GB"/>
              </w:rPr>
            </w:pPr>
            <w:r w:rsidRPr="00EB4503">
              <w:rPr>
                <w:rFonts w:eastAsia="Times New Roman" w:cs="Arial"/>
                <w:sz w:val="20"/>
                <w:szCs w:val="20"/>
                <w:lang w:eastAsia="en-GB"/>
              </w:rPr>
              <w:t>34%</w:t>
            </w:r>
          </w:p>
        </w:tc>
      </w:tr>
      <w:tr w:rsidR="00EB4503" w:rsidRPr="00EB4503" w:rsidTr="00DF3EC5">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DF3EC5">
            <w:pPr>
              <w:spacing w:after="0"/>
              <w:rPr>
                <w:rFonts w:eastAsia="Times New Roman" w:cs="Arial"/>
                <w:sz w:val="20"/>
                <w:szCs w:val="20"/>
                <w:lang w:eastAsia="en-GB"/>
              </w:rPr>
            </w:pPr>
            <w:r w:rsidRPr="00EB4503">
              <w:rPr>
                <w:rFonts w:eastAsia="Times New Roman" w:cs="Arial"/>
                <w:sz w:val="20"/>
                <w:szCs w:val="20"/>
                <w:lang w:eastAsia="en-GB"/>
              </w:rPr>
              <w:t>Tend to agree</w:t>
            </w:r>
          </w:p>
        </w:tc>
        <w:tc>
          <w:tcPr>
            <w:tcW w:w="372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DF3EC5">
            <w:pPr>
              <w:spacing w:after="0"/>
              <w:jc w:val="center"/>
              <w:rPr>
                <w:rFonts w:eastAsia="Times New Roman" w:cs="Arial"/>
                <w:sz w:val="20"/>
                <w:szCs w:val="20"/>
                <w:lang w:eastAsia="en-GB"/>
              </w:rPr>
            </w:pPr>
            <w:r w:rsidRPr="00EB4503">
              <w:rPr>
                <w:rFonts w:eastAsia="Times New Roman" w:cs="Arial"/>
                <w:sz w:val="20"/>
                <w:szCs w:val="20"/>
                <w:lang w:eastAsia="en-GB"/>
              </w:rPr>
              <w:t>48%</w:t>
            </w:r>
          </w:p>
        </w:tc>
      </w:tr>
      <w:tr w:rsidR="00EB4503" w:rsidRPr="00EB4503" w:rsidTr="00DF3EC5">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DF3EC5">
            <w:pPr>
              <w:spacing w:after="0"/>
              <w:rPr>
                <w:rFonts w:eastAsia="Times New Roman" w:cs="Arial"/>
                <w:sz w:val="20"/>
                <w:szCs w:val="20"/>
                <w:lang w:eastAsia="en-GB"/>
              </w:rPr>
            </w:pPr>
            <w:r w:rsidRPr="00EB4503">
              <w:rPr>
                <w:rFonts w:eastAsia="Times New Roman" w:cs="Arial"/>
                <w:sz w:val="20"/>
                <w:szCs w:val="20"/>
                <w:lang w:eastAsia="en-GB"/>
              </w:rPr>
              <w:t>Neither agree nor disagree</w:t>
            </w:r>
          </w:p>
        </w:tc>
        <w:tc>
          <w:tcPr>
            <w:tcW w:w="372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DF3EC5">
            <w:pPr>
              <w:spacing w:after="0"/>
              <w:jc w:val="center"/>
              <w:rPr>
                <w:rFonts w:eastAsia="Times New Roman" w:cs="Arial"/>
                <w:sz w:val="20"/>
                <w:szCs w:val="20"/>
                <w:lang w:eastAsia="en-GB"/>
              </w:rPr>
            </w:pPr>
            <w:r w:rsidRPr="00EB4503">
              <w:rPr>
                <w:rFonts w:eastAsia="Times New Roman" w:cs="Arial"/>
                <w:sz w:val="20"/>
                <w:szCs w:val="20"/>
                <w:lang w:eastAsia="en-GB"/>
              </w:rPr>
              <w:t>10%</w:t>
            </w:r>
          </w:p>
        </w:tc>
      </w:tr>
      <w:tr w:rsidR="00EB4503" w:rsidRPr="00EB4503" w:rsidTr="00DF3EC5">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DF3EC5">
            <w:pPr>
              <w:spacing w:after="0"/>
              <w:rPr>
                <w:rFonts w:eastAsia="Times New Roman" w:cs="Arial"/>
                <w:sz w:val="20"/>
                <w:szCs w:val="20"/>
                <w:lang w:eastAsia="en-GB"/>
              </w:rPr>
            </w:pPr>
            <w:r w:rsidRPr="00EB4503">
              <w:rPr>
                <w:rFonts w:eastAsia="Times New Roman" w:cs="Arial"/>
                <w:sz w:val="20"/>
                <w:szCs w:val="20"/>
                <w:lang w:eastAsia="en-GB"/>
              </w:rPr>
              <w:t>Tend to disagree</w:t>
            </w:r>
          </w:p>
        </w:tc>
        <w:tc>
          <w:tcPr>
            <w:tcW w:w="372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DF3EC5">
            <w:pPr>
              <w:spacing w:after="0"/>
              <w:jc w:val="center"/>
              <w:rPr>
                <w:rFonts w:eastAsia="Times New Roman" w:cs="Arial"/>
                <w:sz w:val="20"/>
                <w:szCs w:val="20"/>
                <w:lang w:eastAsia="en-GB"/>
              </w:rPr>
            </w:pPr>
            <w:r w:rsidRPr="00EB4503">
              <w:rPr>
                <w:rFonts w:eastAsia="Times New Roman" w:cs="Arial"/>
                <w:sz w:val="20"/>
                <w:szCs w:val="20"/>
                <w:lang w:eastAsia="en-GB"/>
              </w:rPr>
              <w:t>5%</w:t>
            </w:r>
          </w:p>
        </w:tc>
      </w:tr>
      <w:tr w:rsidR="00EB4503" w:rsidRPr="00EB4503" w:rsidTr="00DF3EC5">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DF3EC5">
            <w:pPr>
              <w:spacing w:after="0"/>
              <w:rPr>
                <w:rFonts w:eastAsia="Times New Roman" w:cs="Arial"/>
                <w:sz w:val="20"/>
                <w:szCs w:val="20"/>
                <w:lang w:eastAsia="en-GB"/>
              </w:rPr>
            </w:pPr>
            <w:r w:rsidRPr="00EB4503">
              <w:rPr>
                <w:rFonts w:eastAsia="Times New Roman" w:cs="Arial"/>
                <w:sz w:val="20"/>
                <w:szCs w:val="20"/>
                <w:lang w:eastAsia="en-GB"/>
              </w:rPr>
              <w:t>Strongly disagree</w:t>
            </w:r>
          </w:p>
        </w:tc>
        <w:tc>
          <w:tcPr>
            <w:tcW w:w="372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DF3EC5">
            <w:pPr>
              <w:spacing w:after="0"/>
              <w:jc w:val="center"/>
              <w:rPr>
                <w:rFonts w:eastAsia="Times New Roman" w:cs="Arial"/>
                <w:sz w:val="20"/>
                <w:szCs w:val="20"/>
                <w:lang w:eastAsia="en-GB"/>
              </w:rPr>
            </w:pPr>
            <w:r w:rsidRPr="00EB4503">
              <w:rPr>
                <w:rFonts w:eastAsia="Times New Roman" w:cs="Arial"/>
                <w:sz w:val="20"/>
                <w:szCs w:val="20"/>
                <w:lang w:eastAsia="en-GB"/>
              </w:rPr>
              <w:t>3%</w:t>
            </w:r>
          </w:p>
        </w:tc>
      </w:tr>
      <w:tr w:rsidR="00EB4503" w:rsidRPr="00EB4503" w:rsidTr="00DF3EC5">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DF3EC5">
            <w:pPr>
              <w:spacing w:after="0"/>
              <w:rPr>
                <w:rFonts w:eastAsia="Times New Roman" w:cs="Arial"/>
                <w:sz w:val="20"/>
                <w:szCs w:val="20"/>
                <w:lang w:eastAsia="en-GB"/>
              </w:rPr>
            </w:pPr>
            <w:r w:rsidRPr="00EB4503">
              <w:rPr>
                <w:rFonts w:eastAsia="Times New Roman" w:cs="Arial"/>
                <w:sz w:val="20"/>
                <w:szCs w:val="20"/>
                <w:lang w:eastAsia="en-GB"/>
              </w:rPr>
              <w:t>Don't know</w:t>
            </w:r>
          </w:p>
        </w:tc>
        <w:tc>
          <w:tcPr>
            <w:tcW w:w="372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DF3EC5">
            <w:pPr>
              <w:spacing w:after="0"/>
              <w:jc w:val="center"/>
              <w:rPr>
                <w:rFonts w:eastAsia="Times New Roman" w:cs="Arial"/>
                <w:sz w:val="20"/>
                <w:szCs w:val="20"/>
                <w:lang w:eastAsia="en-GB"/>
              </w:rPr>
            </w:pPr>
            <w:r w:rsidRPr="00EB4503">
              <w:rPr>
                <w:rFonts w:eastAsia="Times New Roman" w:cs="Arial"/>
                <w:sz w:val="20"/>
                <w:szCs w:val="20"/>
                <w:lang w:eastAsia="en-GB"/>
              </w:rPr>
              <w:t>1%</w:t>
            </w:r>
          </w:p>
        </w:tc>
      </w:tr>
      <w:tr w:rsidR="00EB4503" w:rsidRPr="00EB4503" w:rsidTr="00DF3EC5">
        <w:trPr>
          <w:trHeight w:val="340"/>
        </w:trPr>
        <w:tc>
          <w:tcPr>
            <w:tcW w:w="4040" w:type="dxa"/>
            <w:tcBorders>
              <w:top w:val="nil"/>
              <w:left w:val="single" w:sz="8" w:space="0" w:color="auto"/>
              <w:bottom w:val="single" w:sz="8" w:space="0" w:color="auto"/>
              <w:right w:val="single" w:sz="8" w:space="0" w:color="auto"/>
            </w:tcBorders>
            <w:shd w:val="clear" w:color="auto" w:fill="auto"/>
            <w:vAlign w:val="center"/>
            <w:hideMark/>
          </w:tcPr>
          <w:p w:rsidR="00EB4503" w:rsidRPr="00EB4503" w:rsidRDefault="00EB4503" w:rsidP="00DF3EC5">
            <w:pPr>
              <w:spacing w:after="0"/>
              <w:rPr>
                <w:rFonts w:eastAsia="Times New Roman" w:cs="Arial"/>
                <w:b/>
                <w:bCs/>
                <w:sz w:val="20"/>
                <w:szCs w:val="20"/>
                <w:lang w:eastAsia="en-GB"/>
              </w:rPr>
            </w:pPr>
            <w:proofErr w:type="spellStart"/>
            <w:r w:rsidRPr="00EB4503">
              <w:rPr>
                <w:rFonts w:eastAsia="Times New Roman" w:cs="Arial"/>
                <w:b/>
                <w:bCs/>
                <w:sz w:val="20"/>
                <w:szCs w:val="20"/>
                <w:lang w:eastAsia="en-GB"/>
              </w:rPr>
              <w:t>Unweighted</w:t>
            </w:r>
            <w:proofErr w:type="spellEnd"/>
            <w:r w:rsidRPr="00EB4503">
              <w:rPr>
                <w:rFonts w:eastAsia="Times New Roman" w:cs="Arial"/>
                <w:b/>
                <w:bCs/>
                <w:sz w:val="20"/>
                <w:szCs w:val="20"/>
                <w:lang w:eastAsia="en-GB"/>
              </w:rPr>
              <w:t xml:space="preserve"> base</w:t>
            </w:r>
          </w:p>
        </w:tc>
        <w:tc>
          <w:tcPr>
            <w:tcW w:w="372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DF3EC5">
            <w:pPr>
              <w:spacing w:after="0"/>
              <w:jc w:val="center"/>
              <w:rPr>
                <w:rFonts w:eastAsia="Times New Roman" w:cs="Arial"/>
                <w:b/>
                <w:bCs/>
                <w:sz w:val="20"/>
                <w:szCs w:val="20"/>
                <w:lang w:eastAsia="en-GB"/>
              </w:rPr>
            </w:pPr>
            <w:r w:rsidRPr="00EB4503">
              <w:rPr>
                <w:rFonts w:eastAsia="Times New Roman" w:cs="Arial"/>
                <w:b/>
                <w:bCs/>
                <w:sz w:val="20"/>
                <w:szCs w:val="20"/>
                <w:lang w:eastAsia="en-GB"/>
              </w:rPr>
              <w:t>1,217</w:t>
            </w:r>
          </w:p>
        </w:tc>
      </w:tr>
      <w:tr w:rsidR="00EB4503" w:rsidRPr="00EB4503" w:rsidTr="00DF3EC5">
        <w:trPr>
          <w:trHeight w:val="340"/>
        </w:trPr>
        <w:tc>
          <w:tcPr>
            <w:tcW w:w="4040" w:type="dxa"/>
            <w:tcBorders>
              <w:top w:val="nil"/>
              <w:left w:val="single" w:sz="8" w:space="0" w:color="auto"/>
              <w:bottom w:val="single" w:sz="8" w:space="0" w:color="auto"/>
              <w:right w:val="single" w:sz="8" w:space="0" w:color="auto"/>
            </w:tcBorders>
            <w:shd w:val="clear" w:color="auto" w:fill="auto"/>
            <w:noWrap/>
            <w:vAlign w:val="center"/>
            <w:hideMark/>
          </w:tcPr>
          <w:p w:rsidR="00EB4503" w:rsidRPr="00EB4503" w:rsidRDefault="00EB4503" w:rsidP="00DF3EC5">
            <w:pPr>
              <w:spacing w:after="0"/>
              <w:rPr>
                <w:rFonts w:eastAsia="Times New Roman" w:cs="Arial"/>
                <w:b/>
                <w:bCs/>
                <w:sz w:val="20"/>
                <w:szCs w:val="20"/>
                <w:lang w:eastAsia="en-GB"/>
              </w:rPr>
            </w:pPr>
            <w:r w:rsidRPr="00EB4503">
              <w:rPr>
                <w:rFonts w:eastAsia="Times New Roman" w:cs="Arial"/>
                <w:b/>
                <w:bCs/>
                <w:sz w:val="20"/>
                <w:szCs w:val="20"/>
                <w:lang w:eastAsia="en-GB"/>
              </w:rPr>
              <w:t>Weighted base</w:t>
            </w:r>
          </w:p>
        </w:tc>
        <w:tc>
          <w:tcPr>
            <w:tcW w:w="3720" w:type="dxa"/>
            <w:tcBorders>
              <w:top w:val="nil"/>
              <w:left w:val="nil"/>
              <w:bottom w:val="single" w:sz="8" w:space="0" w:color="auto"/>
              <w:right w:val="single" w:sz="8" w:space="0" w:color="auto"/>
            </w:tcBorders>
            <w:shd w:val="clear" w:color="auto" w:fill="auto"/>
            <w:noWrap/>
            <w:vAlign w:val="center"/>
            <w:hideMark/>
          </w:tcPr>
          <w:p w:rsidR="00EB4503" w:rsidRPr="00EB4503" w:rsidRDefault="00EB4503" w:rsidP="00DF3EC5">
            <w:pPr>
              <w:spacing w:after="0"/>
              <w:jc w:val="center"/>
              <w:rPr>
                <w:rFonts w:eastAsia="Times New Roman" w:cs="Arial"/>
                <w:b/>
                <w:bCs/>
                <w:sz w:val="20"/>
                <w:szCs w:val="20"/>
                <w:lang w:eastAsia="en-GB"/>
              </w:rPr>
            </w:pPr>
            <w:r w:rsidRPr="00EB4503">
              <w:rPr>
                <w:rFonts w:eastAsia="Times New Roman" w:cs="Arial"/>
                <w:b/>
                <w:bCs/>
                <w:sz w:val="20"/>
                <w:szCs w:val="20"/>
                <w:lang w:eastAsia="en-GB"/>
              </w:rPr>
              <w:t>849</w:t>
            </w:r>
          </w:p>
        </w:tc>
      </w:tr>
    </w:tbl>
    <w:p w:rsidR="00EB4503" w:rsidRDefault="00EB4503">
      <w:pPr>
        <w:spacing w:after="0"/>
      </w:pPr>
    </w:p>
    <w:p w:rsidR="00EB4503" w:rsidRPr="00EB4503" w:rsidRDefault="00EB4503" w:rsidP="00EB4503"/>
    <w:sectPr w:rsidR="00EB4503" w:rsidRPr="00EB4503" w:rsidSect="00B236CE">
      <w:headerReference w:type="default" r:id="rId14"/>
      <w:footerReference w:type="default" r:id="rId15"/>
      <w:footerReference w:type="first" r:id="rId16"/>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86" w:rsidRDefault="00760D86" w:rsidP="00124FDC">
      <w:pPr>
        <w:spacing w:after="0"/>
      </w:pPr>
      <w:r>
        <w:separator/>
      </w:r>
    </w:p>
  </w:endnote>
  <w:endnote w:type="continuationSeparator" w:id="0">
    <w:p w:rsidR="00760D86" w:rsidRDefault="00760D86"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86" w:rsidRDefault="00D45DD2" w:rsidP="009F4CEB">
    <w:pPr>
      <w:pStyle w:val="Foot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-576580</wp:posOffset>
              </wp:positionH>
              <wp:positionV relativeFrom="paragraph">
                <wp:posOffset>-15875</wp:posOffset>
              </wp:positionV>
              <wp:extent cx="6726555" cy="340360"/>
              <wp:effectExtent l="23495" t="22225" r="31750" b="469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rsidR="00760D86" w:rsidRDefault="00760D86" w:rsidP="009F4CEB">
                          <w:pPr>
                            <w:jc w:val="center"/>
                          </w:pPr>
                          <w:r>
                            <w:t xml:space="preserve">• </w:t>
                          </w:r>
                          <w:r w:rsidR="00D45DD2">
                            <w:fldChar w:fldCharType="begin"/>
                          </w:r>
                          <w:r w:rsidR="00D45DD2">
                            <w:instrText xml:space="preserve"> PAGE   \* MERGEFORMAT </w:instrText>
                          </w:r>
                          <w:r w:rsidR="00D45DD2">
                            <w:fldChar w:fldCharType="separate"/>
                          </w:r>
                          <w:r w:rsidR="00137C63">
                            <w:rPr>
                              <w:noProof/>
                            </w:rPr>
                            <w:t>11</w:t>
                          </w:r>
                          <w:r w:rsidR="00D45DD2">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5dig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" fillcolor="#bfbfbf" strokecolor="#bfbfbf" strokeweight="3pt">
              <v:shadow on="t" color="#d31145" opacity=".5" offset="1pt"/>
              <v:textbox>
                <w:txbxContent>
                  <w:p w:rsidR="00760D86" w:rsidRDefault="00760D86" w:rsidP="009F4CEB">
                    <w:pPr>
                      <w:jc w:val="center"/>
                    </w:pPr>
                    <w:r>
                      <w:t xml:space="preserve">• </w:t>
                    </w:r>
                    <w:r w:rsidR="00D45DD2">
                      <w:fldChar w:fldCharType="begin"/>
                    </w:r>
                    <w:r w:rsidR="00D45DD2">
                      <w:instrText xml:space="preserve"> PAGE   \* MERGEFORMAT </w:instrText>
                    </w:r>
                    <w:r w:rsidR="00D45DD2">
                      <w:fldChar w:fldCharType="separate"/>
                    </w:r>
                    <w:r w:rsidR="00137C63">
                      <w:rPr>
                        <w:noProof/>
                      </w:rPr>
                      <w:t>11</w:t>
                    </w:r>
                    <w:r w:rsidR="00D45DD2">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86" w:rsidRDefault="00760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86" w:rsidRDefault="00760D86" w:rsidP="00124FDC">
      <w:pPr>
        <w:spacing w:after="0"/>
      </w:pPr>
      <w:r>
        <w:separator/>
      </w:r>
    </w:p>
  </w:footnote>
  <w:footnote w:type="continuationSeparator" w:id="0">
    <w:p w:rsidR="00760D86" w:rsidRDefault="00760D86"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86" w:rsidRDefault="00760D86">
    <w:pPr>
      <w:pStyle w:val="Header"/>
    </w:pPr>
    <w:r>
      <w:rPr>
        <w:noProof/>
        <w:lang w:eastAsia="en-GB"/>
      </w:rPr>
      <w:drawing>
        <wp:anchor distT="0" distB="0" distL="114300" distR="114300" simplePos="0" relativeHeight="251659264" behindDoc="1" locked="0" layoutInCell="1" allowOverlap="1">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86" w:rsidRDefault="00760D86">
    <w:pPr>
      <w:pStyle w:val="Header"/>
    </w:pPr>
    <w:r>
      <w:rPr>
        <w:noProof/>
        <w:lang w:eastAsia="en-GB"/>
      </w:rPr>
      <w:drawing>
        <wp:anchor distT="0" distB="0" distL="114300" distR="114300" simplePos="0" relativeHeight="251658240" behindDoc="1" locked="0" layoutInCell="1" allowOverlap="1">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86" w:rsidRPr="009A49D9" w:rsidRDefault="00D45DD2" w:rsidP="009A49D9">
    <w:pPr>
      <w:pStyle w:val="Head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-544195</wp:posOffset>
              </wp:positionH>
              <wp:positionV relativeFrom="paragraph">
                <wp:posOffset>-561975</wp:posOffset>
              </wp:positionV>
              <wp:extent cx="6673850" cy="446405"/>
              <wp:effectExtent l="8255" t="0" r="33020" b="298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rsidR="00760D86" w:rsidRPr="009F4CEB" w:rsidRDefault="00760D86" w:rsidP="009F4CEB">
                          <w:pPr>
                            <w:ind w:firstLine="720"/>
                            <w:rPr>
                              <w:color w:val="FFFFFF"/>
                            </w:rPr>
                          </w:pPr>
                          <w:r>
                            <w:rPr>
                              <w:color w:val="FFFFFF"/>
                            </w:rPr>
                            <w:t>Living in Lancashire – budget consultation 2013</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Pwue93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rsidR="00760D86" w:rsidRPr="009F4CEB" w:rsidRDefault="00760D86" w:rsidP="009F4CEB">
                    <w:pPr>
                      <w:ind w:firstLine="720"/>
                      <w:rPr>
                        <w:color w:val="FFFFFF"/>
                      </w:rPr>
                    </w:pPr>
                    <w:r>
                      <w:rPr>
                        <w:color w:val="FFFFFF"/>
                      </w:rPr>
                      <w:t>Living in Lancashire – budget consultation 2013</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7BD"/>
    <w:multiLevelType w:val="multilevel"/>
    <w:tmpl w:val="030065EE"/>
    <w:lvl w:ilvl="0">
      <w:start w:val="1"/>
      <w:numFmt w:val="bullet"/>
      <w:lvlText w:val=""/>
      <w:lvlJc w:val="left"/>
      <w:pPr>
        <w:tabs>
          <w:tab w:val="num" w:pos="1080"/>
        </w:tabs>
        <w:ind w:left="0" w:firstLine="0"/>
      </w:pPr>
      <w:rPr>
        <w:rFonts w:ascii="Symbol" w:hAnsi="Symbol" w:hint="default"/>
        <w:b/>
        <w:i w:val="0"/>
        <w:sz w:val="24"/>
      </w:rPr>
    </w:lvl>
    <w:lvl w:ilvl="1">
      <w:start w:val="1"/>
      <w:numFmt w:val="decimalZero"/>
      <w:isLgl/>
      <w:lvlText w:val="Section %1.%2"/>
      <w:lvlJc w:val="left"/>
      <w:pPr>
        <w:tabs>
          <w:tab w:val="num" w:pos="32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
    <w:nsid w:val="133D4547"/>
    <w:multiLevelType w:val="hybridMultilevel"/>
    <w:tmpl w:val="5FFCC9A6"/>
    <w:lvl w:ilvl="0" w:tplc="76AE62BE">
      <w:start w:val="1"/>
      <w:numFmt w:val="decimal"/>
      <w:pStyle w:val="ChartTitle"/>
      <w:lvlText w:val="Chart %1 -"/>
      <w:lvlJc w:val="left"/>
      <w:pPr>
        <w:ind w:left="360" w:hanging="360"/>
      </w:pPr>
      <w:rPr>
        <w:rFonts w:hint="default"/>
      </w:rPr>
    </w:lvl>
    <w:lvl w:ilvl="1" w:tplc="23225722">
      <w:start w:val="1"/>
      <w:numFmt w:val="decimal"/>
      <w:lvlText w:val="Chart %2 -"/>
      <w:lvlJc w:val="left"/>
      <w:pPr>
        <w:ind w:left="-502" w:hanging="567"/>
      </w:pPr>
      <w:rPr>
        <w:rFonts w:hint="default"/>
        <w:b/>
      </w:rPr>
    </w:lvl>
    <w:lvl w:ilvl="2" w:tplc="0809001B">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2">
    <w:nsid w:val="19477806"/>
    <w:multiLevelType w:val="multilevel"/>
    <w:tmpl w:val="88F6D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27063B3E"/>
    <w:multiLevelType w:val="multilevel"/>
    <w:tmpl w:val="43BCDC64"/>
    <w:lvl w:ilvl="0">
      <w:start w:val="1"/>
      <w:numFmt w:val="decimal"/>
      <w:lvlText w:val="%1."/>
      <w:lvlJc w:val="left"/>
      <w:pPr>
        <w:ind w:left="4188" w:hanging="360"/>
      </w:pPr>
      <w:rPr>
        <w:rFonts w:hint="default"/>
        <w:sz w:val="40"/>
      </w:rPr>
    </w:lvl>
    <w:lvl w:ilvl="1">
      <w:start w:val="1"/>
      <w:numFmt w:val="decimal"/>
      <w:isLgl/>
      <w:lvlText w:val="%1.%2"/>
      <w:lvlJc w:val="left"/>
      <w:pPr>
        <w:ind w:left="4548" w:hanging="720"/>
      </w:pPr>
      <w:rPr>
        <w:rFonts w:hint="default"/>
      </w:rPr>
    </w:lvl>
    <w:lvl w:ilvl="2">
      <w:start w:val="1"/>
      <w:numFmt w:val="decimal"/>
      <w:pStyle w:val="Heading3"/>
      <w:isLgl/>
      <w:lvlText w:val="%1.%2.%3"/>
      <w:lvlJc w:val="left"/>
      <w:pPr>
        <w:ind w:left="4908" w:hanging="1080"/>
      </w:pPr>
      <w:rPr>
        <w:rFonts w:cs="Times New Roman"/>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268" w:hanging="1440"/>
      </w:pPr>
      <w:rPr>
        <w:rFonts w:hint="default"/>
      </w:rPr>
    </w:lvl>
    <w:lvl w:ilvl="4">
      <w:start w:val="1"/>
      <w:numFmt w:val="decimal"/>
      <w:isLgl/>
      <w:lvlText w:val="%1.%2.%3.%4.%5"/>
      <w:lvlJc w:val="left"/>
      <w:pPr>
        <w:ind w:left="5268" w:hanging="1440"/>
      </w:pPr>
      <w:rPr>
        <w:rFonts w:hint="default"/>
      </w:rPr>
    </w:lvl>
    <w:lvl w:ilvl="5">
      <w:start w:val="1"/>
      <w:numFmt w:val="decimal"/>
      <w:isLgl/>
      <w:lvlText w:val="%1.%2.%3.%4.%5.%6"/>
      <w:lvlJc w:val="left"/>
      <w:pPr>
        <w:ind w:left="5628" w:hanging="1800"/>
      </w:pPr>
      <w:rPr>
        <w:rFonts w:hint="default"/>
      </w:rPr>
    </w:lvl>
    <w:lvl w:ilvl="6">
      <w:start w:val="1"/>
      <w:numFmt w:val="decimal"/>
      <w:isLgl/>
      <w:lvlText w:val="%1.%2.%3.%4.%5.%6.%7"/>
      <w:lvlJc w:val="left"/>
      <w:pPr>
        <w:ind w:left="5988" w:hanging="2160"/>
      </w:pPr>
      <w:rPr>
        <w:rFonts w:hint="default"/>
      </w:rPr>
    </w:lvl>
    <w:lvl w:ilvl="7">
      <w:start w:val="1"/>
      <w:numFmt w:val="decimal"/>
      <w:isLgl/>
      <w:lvlText w:val="%1.%2.%3.%4.%5.%6.%7.%8"/>
      <w:lvlJc w:val="left"/>
      <w:pPr>
        <w:ind w:left="6348" w:hanging="2520"/>
      </w:pPr>
      <w:rPr>
        <w:rFonts w:hint="default"/>
      </w:rPr>
    </w:lvl>
    <w:lvl w:ilvl="8">
      <w:start w:val="1"/>
      <w:numFmt w:val="decimal"/>
      <w:isLgl/>
      <w:lvlText w:val="%1.%2.%3.%4.%5.%6.%7.%8.%9"/>
      <w:lvlJc w:val="left"/>
      <w:pPr>
        <w:ind w:left="6708" w:hanging="2880"/>
      </w:pPr>
      <w:rPr>
        <w:rFonts w:hint="default"/>
      </w:rPr>
    </w:lvl>
  </w:abstractNum>
  <w:abstractNum w:abstractNumId="4">
    <w:nsid w:val="2B2C7AC4"/>
    <w:multiLevelType w:val="multilevel"/>
    <w:tmpl w:val="F7FAF8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1B815E8"/>
    <w:multiLevelType w:val="multilevel"/>
    <w:tmpl w:val="3514B3D2"/>
    <w:lvl w:ilvl="0">
      <w:start w:val="5"/>
      <w:numFmt w:val="decimal"/>
      <w:lvlText w:val="%1"/>
      <w:lvlJc w:val="left"/>
      <w:pPr>
        <w:ind w:left="600" w:hanging="60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6">
    <w:nsid w:val="3292392A"/>
    <w:multiLevelType w:val="multilevel"/>
    <w:tmpl w:val="811A50E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32DE378D"/>
    <w:multiLevelType w:val="hybridMultilevel"/>
    <w:tmpl w:val="0AB4067A"/>
    <w:lvl w:ilvl="0" w:tplc="00A290DE">
      <w:start w:val="1"/>
      <w:numFmt w:val="bullet"/>
      <w:pStyle w:val="Bullet"/>
      <w:lvlText w:val=""/>
      <w:lvlJc w:val="left"/>
      <w:pPr>
        <w:ind w:left="720" w:hanging="360"/>
      </w:pPr>
      <w:rPr>
        <w:rFonts w:ascii="Symbol" w:hAnsi="Symbol" w:hint="default"/>
      </w:rPr>
    </w:lvl>
    <w:lvl w:ilvl="1" w:tplc="FBDCD58A" w:tentative="1">
      <w:start w:val="1"/>
      <w:numFmt w:val="bullet"/>
      <w:lvlText w:val="o"/>
      <w:lvlJc w:val="left"/>
      <w:pPr>
        <w:ind w:left="1440" w:hanging="360"/>
      </w:pPr>
      <w:rPr>
        <w:rFonts w:ascii="Courier New" w:hAnsi="Courier New" w:cs="Courier New" w:hint="default"/>
      </w:rPr>
    </w:lvl>
    <w:lvl w:ilvl="2" w:tplc="99BAEE70" w:tentative="1">
      <w:start w:val="1"/>
      <w:numFmt w:val="bullet"/>
      <w:lvlText w:val=""/>
      <w:lvlJc w:val="left"/>
      <w:pPr>
        <w:ind w:left="2160" w:hanging="360"/>
      </w:pPr>
      <w:rPr>
        <w:rFonts w:ascii="Wingdings" w:hAnsi="Wingdings" w:hint="default"/>
      </w:rPr>
    </w:lvl>
    <w:lvl w:ilvl="3" w:tplc="BD9CC184" w:tentative="1">
      <w:start w:val="1"/>
      <w:numFmt w:val="bullet"/>
      <w:lvlText w:val=""/>
      <w:lvlJc w:val="left"/>
      <w:pPr>
        <w:ind w:left="2880" w:hanging="360"/>
      </w:pPr>
      <w:rPr>
        <w:rFonts w:ascii="Symbol" w:hAnsi="Symbol" w:hint="default"/>
      </w:rPr>
    </w:lvl>
    <w:lvl w:ilvl="4" w:tplc="801E93C0" w:tentative="1">
      <w:start w:val="1"/>
      <w:numFmt w:val="bullet"/>
      <w:lvlText w:val="o"/>
      <w:lvlJc w:val="left"/>
      <w:pPr>
        <w:ind w:left="3600" w:hanging="360"/>
      </w:pPr>
      <w:rPr>
        <w:rFonts w:ascii="Courier New" w:hAnsi="Courier New" w:cs="Courier New" w:hint="default"/>
      </w:rPr>
    </w:lvl>
    <w:lvl w:ilvl="5" w:tplc="B99C1B8E" w:tentative="1">
      <w:start w:val="1"/>
      <w:numFmt w:val="bullet"/>
      <w:lvlText w:val=""/>
      <w:lvlJc w:val="left"/>
      <w:pPr>
        <w:ind w:left="4320" w:hanging="360"/>
      </w:pPr>
      <w:rPr>
        <w:rFonts w:ascii="Wingdings" w:hAnsi="Wingdings" w:hint="default"/>
      </w:rPr>
    </w:lvl>
    <w:lvl w:ilvl="6" w:tplc="743466F2" w:tentative="1">
      <w:start w:val="1"/>
      <w:numFmt w:val="bullet"/>
      <w:lvlText w:val=""/>
      <w:lvlJc w:val="left"/>
      <w:pPr>
        <w:ind w:left="5040" w:hanging="360"/>
      </w:pPr>
      <w:rPr>
        <w:rFonts w:ascii="Symbol" w:hAnsi="Symbol" w:hint="default"/>
      </w:rPr>
    </w:lvl>
    <w:lvl w:ilvl="7" w:tplc="BB66D60E" w:tentative="1">
      <w:start w:val="1"/>
      <w:numFmt w:val="bullet"/>
      <w:lvlText w:val="o"/>
      <w:lvlJc w:val="left"/>
      <w:pPr>
        <w:ind w:left="5760" w:hanging="360"/>
      </w:pPr>
      <w:rPr>
        <w:rFonts w:ascii="Courier New" w:hAnsi="Courier New" w:cs="Courier New" w:hint="default"/>
      </w:rPr>
    </w:lvl>
    <w:lvl w:ilvl="8" w:tplc="95B00618" w:tentative="1">
      <w:start w:val="1"/>
      <w:numFmt w:val="bullet"/>
      <w:lvlText w:val=""/>
      <w:lvlJc w:val="left"/>
      <w:pPr>
        <w:ind w:left="6480" w:hanging="360"/>
      </w:pPr>
      <w:rPr>
        <w:rFonts w:ascii="Wingdings" w:hAnsi="Wingdings" w:hint="default"/>
      </w:rPr>
    </w:lvl>
  </w:abstractNum>
  <w:abstractNum w:abstractNumId="8">
    <w:nsid w:val="47F6796F"/>
    <w:multiLevelType w:val="hybridMultilevel"/>
    <w:tmpl w:val="49000558"/>
    <w:lvl w:ilvl="0" w:tplc="0809000F">
      <w:start w:val="1"/>
      <w:numFmt w:val="bullet"/>
      <w:pStyle w:val="Wavebullet"/>
      <w:lvlText w:val=""/>
      <w:lvlJc w:val="left"/>
      <w:pPr>
        <w:tabs>
          <w:tab w:val="num" w:pos="936"/>
        </w:tabs>
        <w:ind w:left="936" w:hanging="360"/>
      </w:pPr>
      <w:rPr>
        <w:rFonts w:ascii="Symbol" w:hAnsi="Symbol" w:hint="default"/>
      </w:rPr>
    </w:lvl>
    <w:lvl w:ilvl="1" w:tplc="08090019" w:tentative="1">
      <w:start w:val="1"/>
      <w:numFmt w:val="bullet"/>
      <w:lvlText w:val="o"/>
      <w:lvlJc w:val="left"/>
      <w:pPr>
        <w:tabs>
          <w:tab w:val="num" w:pos="1656"/>
        </w:tabs>
        <w:ind w:left="1656" w:hanging="360"/>
      </w:pPr>
      <w:rPr>
        <w:rFonts w:ascii="Courier New" w:hAnsi="Courier New" w:cs="Courier New" w:hint="default"/>
      </w:rPr>
    </w:lvl>
    <w:lvl w:ilvl="2" w:tplc="0809001B" w:tentative="1">
      <w:start w:val="1"/>
      <w:numFmt w:val="bullet"/>
      <w:lvlText w:val=""/>
      <w:lvlJc w:val="left"/>
      <w:pPr>
        <w:tabs>
          <w:tab w:val="num" w:pos="2376"/>
        </w:tabs>
        <w:ind w:left="2376" w:hanging="360"/>
      </w:pPr>
      <w:rPr>
        <w:rFonts w:ascii="Wingdings" w:hAnsi="Wingdings" w:hint="default"/>
      </w:rPr>
    </w:lvl>
    <w:lvl w:ilvl="3" w:tplc="0809000F" w:tentative="1">
      <w:start w:val="1"/>
      <w:numFmt w:val="bullet"/>
      <w:lvlText w:val=""/>
      <w:lvlJc w:val="left"/>
      <w:pPr>
        <w:tabs>
          <w:tab w:val="num" w:pos="3096"/>
        </w:tabs>
        <w:ind w:left="3096" w:hanging="360"/>
      </w:pPr>
      <w:rPr>
        <w:rFonts w:ascii="Symbol" w:hAnsi="Symbol" w:hint="default"/>
      </w:rPr>
    </w:lvl>
    <w:lvl w:ilvl="4" w:tplc="08090019" w:tentative="1">
      <w:start w:val="1"/>
      <w:numFmt w:val="bullet"/>
      <w:lvlText w:val="o"/>
      <w:lvlJc w:val="left"/>
      <w:pPr>
        <w:tabs>
          <w:tab w:val="num" w:pos="3816"/>
        </w:tabs>
        <w:ind w:left="3816" w:hanging="360"/>
      </w:pPr>
      <w:rPr>
        <w:rFonts w:ascii="Courier New" w:hAnsi="Courier New" w:cs="Courier New" w:hint="default"/>
      </w:rPr>
    </w:lvl>
    <w:lvl w:ilvl="5" w:tplc="0809001B" w:tentative="1">
      <w:start w:val="1"/>
      <w:numFmt w:val="bullet"/>
      <w:lvlText w:val=""/>
      <w:lvlJc w:val="left"/>
      <w:pPr>
        <w:tabs>
          <w:tab w:val="num" w:pos="4536"/>
        </w:tabs>
        <w:ind w:left="4536" w:hanging="360"/>
      </w:pPr>
      <w:rPr>
        <w:rFonts w:ascii="Wingdings" w:hAnsi="Wingdings" w:hint="default"/>
      </w:rPr>
    </w:lvl>
    <w:lvl w:ilvl="6" w:tplc="0809000F" w:tentative="1">
      <w:start w:val="1"/>
      <w:numFmt w:val="bullet"/>
      <w:lvlText w:val=""/>
      <w:lvlJc w:val="left"/>
      <w:pPr>
        <w:tabs>
          <w:tab w:val="num" w:pos="5256"/>
        </w:tabs>
        <w:ind w:left="5256" w:hanging="360"/>
      </w:pPr>
      <w:rPr>
        <w:rFonts w:ascii="Symbol" w:hAnsi="Symbol" w:hint="default"/>
      </w:rPr>
    </w:lvl>
    <w:lvl w:ilvl="7" w:tplc="08090019" w:tentative="1">
      <w:start w:val="1"/>
      <w:numFmt w:val="bullet"/>
      <w:lvlText w:val="o"/>
      <w:lvlJc w:val="left"/>
      <w:pPr>
        <w:tabs>
          <w:tab w:val="num" w:pos="5976"/>
        </w:tabs>
        <w:ind w:left="5976" w:hanging="360"/>
      </w:pPr>
      <w:rPr>
        <w:rFonts w:ascii="Courier New" w:hAnsi="Courier New" w:cs="Courier New" w:hint="default"/>
      </w:rPr>
    </w:lvl>
    <w:lvl w:ilvl="8" w:tplc="0809001B" w:tentative="1">
      <w:start w:val="1"/>
      <w:numFmt w:val="bullet"/>
      <w:lvlText w:val=""/>
      <w:lvlJc w:val="left"/>
      <w:pPr>
        <w:tabs>
          <w:tab w:val="num" w:pos="6696"/>
        </w:tabs>
        <w:ind w:left="6696" w:hanging="360"/>
      </w:pPr>
      <w:rPr>
        <w:rFonts w:ascii="Wingdings" w:hAnsi="Wingdings" w:hint="default"/>
      </w:rPr>
    </w:lvl>
  </w:abstractNum>
  <w:abstractNum w:abstractNumId="9">
    <w:nsid w:val="4C216596"/>
    <w:multiLevelType w:val="multilevel"/>
    <w:tmpl w:val="F43AE9A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6D127D"/>
    <w:multiLevelType w:val="hybridMultilevel"/>
    <w:tmpl w:val="09F8A97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57367E74"/>
    <w:multiLevelType w:val="hybridMultilevel"/>
    <w:tmpl w:val="F294C612"/>
    <w:lvl w:ilvl="0" w:tplc="5A18A692">
      <w:start w:val="1"/>
      <w:numFmt w:val="decimal"/>
      <w:lvlText w:val="%1.1"/>
      <w:lvlJc w:val="left"/>
      <w:pPr>
        <w:ind w:left="726" w:hanging="360"/>
      </w:pPr>
      <w:rPr>
        <w:rFonts w:cs="Times New Roman"/>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2">
    <w:nsid w:val="5B4A00AE"/>
    <w:multiLevelType w:val="hybridMultilevel"/>
    <w:tmpl w:val="A79A5790"/>
    <w:lvl w:ilvl="0" w:tplc="BFBC146C">
      <w:start w:val="1"/>
      <w:numFmt w:val="bullet"/>
      <w:lvlText w:val=""/>
      <w:lvlJc w:val="left"/>
      <w:pPr>
        <w:ind w:left="1146" w:hanging="360"/>
      </w:pPr>
      <w:rPr>
        <w:rFonts w:ascii="Symbol" w:hAnsi="Symbol" w:hint="default"/>
        <w:sz w:val="24"/>
        <w:szCs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E7339A6"/>
    <w:multiLevelType w:val="multilevel"/>
    <w:tmpl w:val="89A623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E873266"/>
    <w:multiLevelType w:val="multilevel"/>
    <w:tmpl w:val="A042AA04"/>
    <w:lvl w:ilvl="0">
      <w:start w:val="1"/>
      <w:numFmt w:val="decimal"/>
      <w:pStyle w:val="Heading1"/>
      <w:lvlText w:val="%1."/>
      <w:lvlJc w:val="left"/>
      <w:pPr>
        <w:ind w:left="360" w:hanging="360"/>
      </w:pPr>
      <w:rPr>
        <w:sz w:val="40"/>
        <w:szCs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F948B3"/>
    <w:multiLevelType w:val="multilevel"/>
    <w:tmpl w:val="60726F2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7D865145"/>
    <w:multiLevelType w:val="multilevel"/>
    <w:tmpl w:val="198C62E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2"/>
  </w:num>
  <w:num w:numId="4">
    <w:abstractNumId w:val="15"/>
  </w:num>
  <w:num w:numId="5">
    <w:abstractNumId w:val="16"/>
  </w:num>
  <w:num w:numId="6">
    <w:abstractNumId w:val="4"/>
  </w:num>
  <w:num w:numId="7">
    <w:abstractNumId w:val="13"/>
  </w:num>
  <w:num w:numId="8">
    <w:abstractNumId w:val="3"/>
  </w:num>
  <w:num w:numId="9">
    <w:abstractNumId w:val="8"/>
  </w:num>
  <w:num w:numId="10">
    <w:abstractNumId w:val="5"/>
  </w:num>
  <w:num w:numId="11">
    <w:abstractNumId w:val="1"/>
  </w:num>
  <w:num w:numId="12">
    <w:abstractNumId w:val="10"/>
  </w:num>
  <w:num w:numId="13">
    <w:abstractNumId w:val="12"/>
  </w:num>
  <w:num w:numId="14">
    <w:abstractNumId w:val="0"/>
  </w:num>
  <w:num w:numId="15">
    <w:abstractNumId w:val="11"/>
  </w:num>
  <w:num w:numId="16">
    <w:abstractNumId w:val="11"/>
    <w:lvlOverride w:ilvl="0">
      <w:startOverride w:val="4"/>
    </w:lvlOverride>
  </w:num>
  <w:num w:numId="17">
    <w:abstractNumId w:val="11"/>
    <w:lvlOverride w:ilvl="0">
      <w:startOverride w:val="1"/>
    </w:lvlOverride>
  </w:num>
  <w:num w:numId="18">
    <w:abstractNumId w:val="9"/>
  </w:num>
  <w:num w:numId="19">
    <w:abstractNumId w:val="14"/>
  </w:num>
  <w:num w:numId="20">
    <w:abstractNumId w:val="9"/>
    <w:lvlOverride w:ilvl="0">
      <w:lvl w:ilvl="0">
        <w:start w:val="1"/>
        <w:numFmt w:val="decimal"/>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lvlOverride w:ilvl="0">
      <w:startOverride w:val="4"/>
      <w:lvl w:ilvl="0">
        <w:start w:val="4"/>
        <w:numFmt w:val="decimal"/>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8D"/>
    <w:rsid w:val="00014ABA"/>
    <w:rsid w:val="0002105C"/>
    <w:rsid w:val="00023DA0"/>
    <w:rsid w:val="00031C07"/>
    <w:rsid w:val="00034827"/>
    <w:rsid w:val="0004609F"/>
    <w:rsid w:val="000546A3"/>
    <w:rsid w:val="0006600D"/>
    <w:rsid w:val="000701AB"/>
    <w:rsid w:val="00070216"/>
    <w:rsid w:val="0007116D"/>
    <w:rsid w:val="00075CDD"/>
    <w:rsid w:val="00076766"/>
    <w:rsid w:val="00082DEF"/>
    <w:rsid w:val="0008360D"/>
    <w:rsid w:val="00090D1D"/>
    <w:rsid w:val="00092756"/>
    <w:rsid w:val="00094C0B"/>
    <w:rsid w:val="000A2832"/>
    <w:rsid w:val="000A2EFE"/>
    <w:rsid w:val="000A3BD2"/>
    <w:rsid w:val="000A5ABC"/>
    <w:rsid w:val="000B704B"/>
    <w:rsid w:val="000D1955"/>
    <w:rsid w:val="000D3601"/>
    <w:rsid w:val="000E02A0"/>
    <w:rsid w:val="000E0773"/>
    <w:rsid w:val="000E1F80"/>
    <w:rsid w:val="000E3B52"/>
    <w:rsid w:val="000F32C5"/>
    <w:rsid w:val="000F73B3"/>
    <w:rsid w:val="001031AE"/>
    <w:rsid w:val="00112B05"/>
    <w:rsid w:val="0011316C"/>
    <w:rsid w:val="00121151"/>
    <w:rsid w:val="0012365B"/>
    <w:rsid w:val="00124FDC"/>
    <w:rsid w:val="00137C63"/>
    <w:rsid w:val="00140FE8"/>
    <w:rsid w:val="00145FAF"/>
    <w:rsid w:val="00153E43"/>
    <w:rsid w:val="00165163"/>
    <w:rsid w:val="00165287"/>
    <w:rsid w:val="00174280"/>
    <w:rsid w:val="00174687"/>
    <w:rsid w:val="001800E3"/>
    <w:rsid w:val="00184F4B"/>
    <w:rsid w:val="001859A6"/>
    <w:rsid w:val="001926AE"/>
    <w:rsid w:val="001942E4"/>
    <w:rsid w:val="001A776F"/>
    <w:rsid w:val="001B07D8"/>
    <w:rsid w:val="001B5943"/>
    <w:rsid w:val="001B7DF4"/>
    <w:rsid w:val="001C0359"/>
    <w:rsid w:val="001C5A8C"/>
    <w:rsid w:val="001C5E29"/>
    <w:rsid w:val="001C7946"/>
    <w:rsid w:val="001D09E7"/>
    <w:rsid w:val="001D1036"/>
    <w:rsid w:val="001D1FA4"/>
    <w:rsid w:val="001E0C81"/>
    <w:rsid w:val="001E11B2"/>
    <w:rsid w:val="001E1C95"/>
    <w:rsid w:val="001E22B3"/>
    <w:rsid w:val="001E3DE0"/>
    <w:rsid w:val="001E5A8C"/>
    <w:rsid w:val="001F3263"/>
    <w:rsid w:val="001F5240"/>
    <w:rsid w:val="00200FD9"/>
    <w:rsid w:val="002110AC"/>
    <w:rsid w:val="00214315"/>
    <w:rsid w:val="002145BD"/>
    <w:rsid w:val="00214801"/>
    <w:rsid w:val="00224E75"/>
    <w:rsid w:val="002273CC"/>
    <w:rsid w:val="00230864"/>
    <w:rsid w:val="00232524"/>
    <w:rsid w:val="00233608"/>
    <w:rsid w:val="00243491"/>
    <w:rsid w:val="002468B7"/>
    <w:rsid w:val="00247D1D"/>
    <w:rsid w:val="0026378E"/>
    <w:rsid w:val="00264F2E"/>
    <w:rsid w:val="0026649F"/>
    <w:rsid w:val="00267E3B"/>
    <w:rsid w:val="00270F62"/>
    <w:rsid w:val="002712BF"/>
    <w:rsid w:val="00275B89"/>
    <w:rsid w:val="002835FB"/>
    <w:rsid w:val="0028633E"/>
    <w:rsid w:val="00291B25"/>
    <w:rsid w:val="002936B4"/>
    <w:rsid w:val="00294476"/>
    <w:rsid w:val="002A3292"/>
    <w:rsid w:val="002A44A3"/>
    <w:rsid w:val="002A4746"/>
    <w:rsid w:val="002A4D66"/>
    <w:rsid w:val="002B71EB"/>
    <w:rsid w:val="002C232B"/>
    <w:rsid w:val="002C4196"/>
    <w:rsid w:val="002C793F"/>
    <w:rsid w:val="002D0000"/>
    <w:rsid w:val="002D1A72"/>
    <w:rsid w:val="002E6735"/>
    <w:rsid w:val="002F12AF"/>
    <w:rsid w:val="00301FBE"/>
    <w:rsid w:val="00304E52"/>
    <w:rsid w:val="003121CA"/>
    <w:rsid w:val="00317617"/>
    <w:rsid w:val="003218D4"/>
    <w:rsid w:val="00325446"/>
    <w:rsid w:val="00325524"/>
    <w:rsid w:val="003264C6"/>
    <w:rsid w:val="00326867"/>
    <w:rsid w:val="0032720A"/>
    <w:rsid w:val="00331E0B"/>
    <w:rsid w:val="00333D73"/>
    <w:rsid w:val="003348C9"/>
    <w:rsid w:val="00343155"/>
    <w:rsid w:val="003514C5"/>
    <w:rsid w:val="00361DD8"/>
    <w:rsid w:val="00363024"/>
    <w:rsid w:val="00365586"/>
    <w:rsid w:val="0036570D"/>
    <w:rsid w:val="00365825"/>
    <w:rsid w:val="00370B14"/>
    <w:rsid w:val="00380ADD"/>
    <w:rsid w:val="00384DCB"/>
    <w:rsid w:val="003867D9"/>
    <w:rsid w:val="00390078"/>
    <w:rsid w:val="00391853"/>
    <w:rsid w:val="00394975"/>
    <w:rsid w:val="00395F28"/>
    <w:rsid w:val="003970FA"/>
    <w:rsid w:val="003A5816"/>
    <w:rsid w:val="003A7949"/>
    <w:rsid w:val="003B75E6"/>
    <w:rsid w:val="003C5AE8"/>
    <w:rsid w:val="003D1166"/>
    <w:rsid w:val="003D57E8"/>
    <w:rsid w:val="003E46D3"/>
    <w:rsid w:val="003F55B6"/>
    <w:rsid w:val="003F7EEC"/>
    <w:rsid w:val="004137B0"/>
    <w:rsid w:val="00415D09"/>
    <w:rsid w:val="0042013E"/>
    <w:rsid w:val="00421296"/>
    <w:rsid w:val="004221B8"/>
    <w:rsid w:val="00427699"/>
    <w:rsid w:val="00427852"/>
    <w:rsid w:val="00430BCD"/>
    <w:rsid w:val="00431E4E"/>
    <w:rsid w:val="00440002"/>
    <w:rsid w:val="00442270"/>
    <w:rsid w:val="0045231F"/>
    <w:rsid w:val="00454B16"/>
    <w:rsid w:val="00456742"/>
    <w:rsid w:val="004669F1"/>
    <w:rsid w:val="004707C9"/>
    <w:rsid w:val="004779A5"/>
    <w:rsid w:val="004827DF"/>
    <w:rsid w:val="00496925"/>
    <w:rsid w:val="00496DB0"/>
    <w:rsid w:val="004A148F"/>
    <w:rsid w:val="004A3F02"/>
    <w:rsid w:val="004B2314"/>
    <w:rsid w:val="004B501C"/>
    <w:rsid w:val="004C2626"/>
    <w:rsid w:val="004D1C21"/>
    <w:rsid w:val="004D4E84"/>
    <w:rsid w:val="004E500C"/>
    <w:rsid w:val="004E5F49"/>
    <w:rsid w:val="004E604B"/>
    <w:rsid w:val="004E60C0"/>
    <w:rsid w:val="004F4549"/>
    <w:rsid w:val="004F6289"/>
    <w:rsid w:val="00503527"/>
    <w:rsid w:val="005049F5"/>
    <w:rsid w:val="00510D59"/>
    <w:rsid w:val="00512EA9"/>
    <w:rsid w:val="00513272"/>
    <w:rsid w:val="005204FE"/>
    <w:rsid w:val="005258D0"/>
    <w:rsid w:val="00530B90"/>
    <w:rsid w:val="00533982"/>
    <w:rsid w:val="005354B0"/>
    <w:rsid w:val="005360E5"/>
    <w:rsid w:val="005501CB"/>
    <w:rsid w:val="00553EFD"/>
    <w:rsid w:val="00554458"/>
    <w:rsid w:val="00560C82"/>
    <w:rsid w:val="0056247C"/>
    <w:rsid w:val="00562F93"/>
    <w:rsid w:val="00565DF7"/>
    <w:rsid w:val="0056783A"/>
    <w:rsid w:val="00576D18"/>
    <w:rsid w:val="00576EA8"/>
    <w:rsid w:val="00584303"/>
    <w:rsid w:val="00585C23"/>
    <w:rsid w:val="005907E7"/>
    <w:rsid w:val="00591F1A"/>
    <w:rsid w:val="005A6BE8"/>
    <w:rsid w:val="005B34D8"/>
    <w:rsid w:val="005D594E"/>
    <w:rsid w:val="00610B40"/>
    <w:rsid w:val="006114B7"/>
    <w:rsid w:val="00614185"/>
    <w:rsid w:val="00614DD9"/>
    <w:rsid w:val="006208E7"/>
    <w:rsid w:val="00631422"/>
    <w:rsid w:val="00633425"/>
    <w:rsid w:val="00637235"/>
    <w:rsid w:val="00637F85"/>
    <w:rsid w:val="00644215"/>
    <w:rsid w:val="00647887"/>
    <w:rsid w:val="006506F7"/>
    <w:rsid w:val="006509FD"/>
    <w:rsid w:val="00654CF0"/>
    <w:rsid w:val="00655FA2"/>
    <w:rsid w:val="006573DF"/>
    <w:rsid w:val="00657E34"/>
    <w:rsid w:val="00661CC0"/>
    <w:rsid w:val="00664797"/>
    <w:rsid w:val="00667827"/>
    <w:rsid w:val="00670121"/>
    <w:rsid w:val="00675165"/>
    <w:rsid w:val="00675B77"/>
    <w:rsid w:val="0068566B"/>
    <w:rsid w:val="00690D14"/>
    <w:rsid w:val="00691147"/>
    <w:rsid w:val="00694BE2"/>
    <w:rsid w:val="006A4BBD"/>
    <w:rsid w:val="006A7810"/>
    <w:rsid w:val="006A7A71"/>
    <w:rsid w:val="006A7A79"/>
    <w:rsid w:val="006B249B"/>
    <w:rsid w:val="006B3CD2"/>
    <w:rsid w:val="006B7B25"/>
    <w:rsid w:val="006F268B"/>
    <w:rsid w:val="00717E40"/>
    <w:rsid w:val="00720678"/>
    <w:rsid w:val="0072167F"/>
    <w:rsid w:val="007304A7"/>
    <w:rsid w:val="0073175F"/>
    <w:rsid w:val="007423F7"/>
    <w:rsid w:val="00750310"/>
    <w:rsid w:val="00751E94"/>
    <w:rsid w:val="00752D4C"/>
    <w:rsid w:val="00760D86"/>
    <w:rsid w:val="00765AC0"/>
    <w:rsid w:val="00765FA1"/>
    <w:rsid w:val="00770CBB"/>
    <w:rsid w:val="0077399D"/>
    <w:rsid w:val="0077483C"/>
    <w:rsid w:val="007775B1"/>
    <w:rsid w:val="00784105"/>
    <w:rsid w:val="007871E4"/>
    <w:rsid w:val="007929E1"/>
    <w:rsid w:val="00794CE8"/>
    <w:rsid w:val="00795732"/>
    <w:rsid w:val="00797100"/>
    <w:rsid w:val="007A32EC"/>
    <w:rsid w:val="007A54F1"/>
    <w:rsid w:val="007B14C3"/>
    <w:rsid w:val="007B6035"/>
    <w:rsid w:val="007D12C2"/>
    <w:rsid w:val="007D1439"/>
    <w:rsid w:val="007D60A0"/>
    <w:rsid w:val="007D710F"/>
    <w:rsid w:val="007E778D"/>
    <w:rsid w:val="007F01B9"/>
    <w:rsid w:val="007F0B9F"/>
    <w:rsid w:val="008040CF"/>
    <w:rsid w:val="008068C4"/>
    <w:rsid w:val="00817D25"/>
    <w:rsid w:val="00821DF5"/>
    <w:rsid w:val="008318EF"/>
    <w:rsid w:val="00843FA3"/>
    <w:rsid w:val="00845390"/>
    <w:rsid w:val="00846DAF"/>
    <w:rsid w:val="00850A5B"/>
    <w:rsid w:val="00850CCC"/>
    <w:rsid w:val="008707EB"/>
    <w:rsid w:val="0087320B"/>
    <w:rsid w:val="00873878"/>
    <w:rsid w:val="00874FCD"/>
    <w:rsid w:val="0088444B"/>
    <w:rsid w:val="00887C6E"/>
    <w:rsid w:val="008901B8"/>
    <w:rsid w:val="008940BF"/>
    <w:rsid w:val="008958B7"/>
    <w:rsid w:val="008968DC"/>
    <w:rsid w:val="008B3F71"/>
    <w:rsid w:val="008D1136"/>
    <w:rsid w:val="008D2C81"/>
    <w:rsid w:val="008D34EC"/>
    <w:rsid w:val="008D49C2"/>
    <w:rsid w:val="008D655F"/>
    <w:rsid w:val="008E2570"/>
    <w:rsid w:val="008E2772"/>
    <w:rsid w:val="008E790F"/>
    <w:rsid w:val="009032EB"/>
    <w:rsid w:val="00904E3E"/>
    <w:rsid w:val="00925B19"/>
    <w:rsid w:val="009337DD"/>
    <w:rsid w:val="0093747E"/>
    <w:rsid w:val="00937DDB"/>
    <w:rsid w:val="00941FA5"/>
    <w:rsid w:val="00942BC2"/>
    <w:rsid w:val="0094307D"/>
    <w:rsid w:val="00944AEA"/>
    <w:rsid w:val="00947949"/>
    <w:rsid w:val="00960C1A"/>
    <w:rsid w:val="00961639"/>
    <w:rsid w:val="00962260"/>
    <w:rsid w:val="0096401E"/>
    <w:rsid w:val="0097372B"/>
    <w:rsid w:val="00977F0F"/>
    <w:rsid w:val="00977F72"/>
    <w:rsid w:val="00980C35"/>
    <w:rsid w:val="0098174F"/>
    <w:rsid w:val="00982EA8"/>
    <w:rsid w:val="00984642"/>
    <w:rsid w:val="00991F04"/>
    <w:rsid w:val="00996A25"/>
    <w:rsid w:val="009A2B73"/>
    <w:rsid w:val="009A49D9"/>
    <w:rsid w:val="009B5579"/>
    <w:rsid w:val="009C33F5"/>
    <w:rsid w:val="009C760E"/>
    <w:rsid w:val="009C7DA1"/>
    <w:rsid w:val="009D45E2"/>
    <w:rsid w:val="009D6EAC"/>
    <w:rsid w:val="009E12C0"/>
    <w:rsid w:val="009E2BB5"/>
    <w:rsid w:val="009E5052"/>
    <w:rsid w:val="009E6314"/>
    <w:rsid w:val="009E7619"/>
    <w:rsid w:val="009F1D25"/>
    <w:rsid w:val="009F2283"/>
    <w:rsid w:val="009F42B7"/>
    <w:rsid w:val="009F4CEB"/>
    <w:rsid w:val="00A02E54"/>
    <w:rsid w:val="00A202D2"/>
    <w:rsid w:val="00A23A8C"/>
    <w:rsid w:val="00A50D0F"/>
    <w:rsid w:val="00A72CAF"/>
    <w:rsid w:val="00A7599E"/>
    <w:rsid w:val="00A75E7D"/>
    <w:rsid w:val="00A913E7"/>
    <w:rsid w:val="00AA511A"/>
    <w:rsid w:val="00AA59EA"/>
    <w:rsid w:val="00AB1D32"/>
    <w:rsid w:val="00AB4878"/>
    <w:rsid w:val="00AB5928"/>
    <w:rsid w:val="00AD32BB"/>
    <w:rsid w:val="00AD4F24"/>
    <w:rsid w:val="00AD7BFB"/>
    <w:rsid w:val="00AE60D0"/>
    <w:rsid w:val="00AE68C3"/>
    <w:rsid w:val="00AF18F4"/>
    <w:rsid w:val="00B0026F"/>
    <w:rsid w:val="00B02322"/>
    <w:rsid w:val="00B06F0A"/>
    <w:rsid w:val="00B111F1"/>
    <w:rsid w:val="00B14367"/>
    <w:rsid w:val="00B236CE"/>
    <w:rsid w:val="00B24B35"/>
    <w:rsid w:val="00B30207"/>
    <w:rsid w:val="00B32331"/>
    <w:rsid w:val="00B37562"/>
    <w:rsid w:val="00B406F6"/>
    <w:rsid w:val="00B45CEB"/>
    <w:rsid w:val="00B51DA5"/>
    <w:rsid w:val="00B5683E"/>
    <w:rsid w:val="00B62A99"/>
    <w:rsid w:val="00B652AD"/>
    <w:rsid w:val="00B66422"/>
    <w:rsid w:val="00B6651E"/>
    <w:rsid w:val="00B66DA3"/>
    <w:rsid w:val="00B70AE3"/>
    <w:rsid w:val="00B719AC"/>
    <w:rsid w:val="00B86776"/>
    <w:rsid w:val="00B87E34"/>
    <w:rsid w:val="00B941A5"/>
    <w:rsid w:val="00B94480"/>
    <w:rsid w:val="00BA0BBC"/>
    <w:rsid w:val="00BA613A"/>
    <w:rsid w:val="00BB3F7C"/>
    <w:rsid w:val="00BB6529"/>
    <w:rsid w:val="00BC316C"/>
    <w:rsid w:val="00BC4534"/>
    <w:rsid w:val="00BC5A58"/>
    <w:rsid w:val="00BD0D73"/>
    <w:rsid w:val="00BD654D"/>
    <w:rsid w:val="00BE3DDA"/>
    <w:rsid w:val="00BE7FC8"/>
    <w:rsid w:val="00BF1368"/>
    <w:rsid w:val="00BF5930"/>
    <w:rsid w:val="00BF5A52"/>
    <w:rsid w:val="00C1193C"/>
    <w:rsid w:val="00C16428"/>
    <w:rsid w:val="00C16674"/>
    <w:rsid w:val="00C25EFE"/>
    <w:rsid w:val="00C27319"/>
    <w:rsid w:val="00C45BB5"/>
    <w:rsid w:val="00C5121A"/>
    <w:rsid w:val="00C51A09"/>
    <w:rsid w:val="00C53823"/>
    <w:rsid w:val="00C54081"/>
    <w:rsid w:val="00C609D0"/>
    <w:rsid w:val="00C620F1"/>
    <w:rsid w:val="00C650F9"/>
    <w:rsid w:val="00C6734F"/>
    <w:rsid w:val="00C700F5"/>
    <w:rsid w:val="00C71064"/>
    <w:rsid w:val="00C711DA"/>
    <w:rsid w:val="00C72028"/>
    <w:rsid w:val="00C83911"/>
    <w:rsid w:val="00C83B16"/>
    <w:rsid w:val="00C852AE"/>
    <w:rsid w:val="00C87E64"/>
    <w:rsid w:val="00C92ABF"/>
    <w:rsid w:val="00C94CCF"/>
    <w:rsid w:val="00C95E72"/>
    <w:rsid w:val="00C97301"/>
    <w:rsid w:val="00C974BA"/>
    <w:rsid w:val="00CA1EC9"/>
    <w:rsid w:val="00CB2139"/>
    <w:rsid w:val="00CB4B6E"/>
    <w:rsid w:val="00CB5D33"/>
    <w:rsid w:val="00CC12E9"/>
    <w:rsid w:val="00CC247D"/>
    <w:rsid w:val="00CC4039"/>
    <w:rsid w:val="00CD311E"/>
    <w:rsid w:val="00CD5988"/>
    <w:rsid w:val="00CD6728"/>
    <w:rsid w:val="00CE7C9C"/>
    <w:rsid w:val="00CF0CF4"/>
    <w:rsid w:val="00CF39EC"/>
    <w:rsid w:val="00CF41E4"/>
    <w:rsid w:val="00CF6295"/>
    <w:rsid w:val="00CF6E40"/>
    <w:rsid w:val="00D029FC"/>
    <w:rsid w:val="00D04825"/>
    <w:rsid w:val="00D0744C"/>
    <w:rsid w:val="00D212BD"/>
    <w:rsid w:val="00D230DB"/>
    <w:rsid w:val="00D24161"/>
    <w:rsid w:val="00D43388"/>
    <w:rsid w:val="00D45050"/>
    <w:rsid w:val="00D45DD2"/>
    <w:rsid w:val="00D507CA"/>
    <w:rsid w:val="00D565E0"/>
    <w:rsid w:val="00D66C8E"/>
    <w:rsid w:val="00D80B89"/>
    <w:rsid w:val="00D80E89"/>
    <w:rsid w:val="00D8469E"/>
    <w:rsid w:val="00D90DCD"/>
    <w:rsid w:val="00D93057"/>
    <w:rsid w:val="00D96124"/>
    <w:rsid w:val="00DA089B"/>
    <w:rsid w:val="00DA2E69"/>
    <w:rsid w:val="00DA5C8A"/>
    <w:rsid w:val="00DB11EF"/>
    <w:rsid w:val="00DB1D18"/>
    <w:rsid w:val="00DB3F6C"/>
    <w:rsid w:val="00DB7933"/>
    <w:rsid w:val="00DC0971"/>
    <w:rsid w:val="00DC41E0"/>
    <w:rsid w:val="00DD3F0B"/>
    <w:rsid w:val="00DF3A5C"/>
    <w:rsid w:val="00DF3C8D"/>
    <w:rsid w:val="00DF3EC5"/>
    <w:rsid w:val="00E00A9C"/>
    <w:rsid w:val="00E02636"/>
    <w:rsid w:val="00E17A6E"/>
    <w:rsid w:val="00E242B8"/>
    <w:rsid w:val="00E27B55"/>
    <w:rsid w:val="00E30EED"/>
    <w:rsid w:val="00E33FA3"/>
    <w:rsid w:val="00E4188C"/>
    <w:rsid w:val="00E42149"/>
    <w:rsid w:val="00E46FEE"/>
    <w:rsid w:val="00E47F62"/>
    <w:rsid w:val="00E52445"/>
    <w:rsid w:val="00E627CE"/>
    <w:rsid w:val="00E66027"/>
    <w:rsid w:val="00E85715"/>
    <w:rsid w:val="00E91B9C"/>
    <w:rsid w:val="00E93A48"/>
    <w:rsid w:val="00E9585B"/>
    <w:rsid w:val="00E970BC"/>
    <w:rsid w:val="00EA0195"/>
    <w:rsid w:val="00EA2C86"/>
    <w:rsid w:val="00EA41E9"/>
    <w:rsid w:val="00EA71ED"/>
    <w:rsid w:val="00EB3824"/>
    <w:rsid w:val="00EB4256"/>
    <w:rsid w:val="00EB4503"/>
    <w:rsid w:val="00EB468D"/>
    <w:rsid w:val="00EC2F55"/>
    <w:rsid w:val="00EC464E"/>
    <w:rsid w:val="00EC631C"/>
    <w:rsid w:val="00ED1090"/>
    <w:rsid w:val="00ED220F"/>
    <w:rsid w:val="00ED2CA4"/>
    <w:rsid w:val="00ED3365"/>
    <w:rsid w:val="00ED55BB"/>
    <w:rsid w:val="00EE295B"/>
    <w:rsid w:val="00EE42B4"/>
    <w:rsid w:val="00EE4BA9"/>
    <w:rsid w:val="00EE60D1"/>
    <w:rsid w:val="00EE74E6"/>
    <w:rsid w:val="00EF0B11"/>
    <w:rsid w:val="00EF4348"/>
    <w:rsid w:val="00F002C2"/>
    <w:rsid w:val="00F011CC"/>
    <w:rsid w:val="00F05836"/>
    <w:rsid w:val="00F073C6"/>
    <w:rsid w:val="00F2084D"/>
    <w:rsid w:val="00F37517"/>
    <w:rsid w:val="00F41457"/>
    <w:rsid w:val="00F439B5"/>
    <w:rsid w:val="00F44F66"/>
    <w:rsid w:val="00F526AE"/>
    <w:rsid w:val="00F55DD4"/>
    <w:rsid w:val="00F633AE"/>
    <w:rsid w:val="00F739CB"/>
    <w:rsid w:val="00F82072"/>
    <w:rsid w:val="00F875C4"/>
    <w:rsid w:val="00FB7FFB"/>
    <w:rsid w:val="00FD12B3"/>
    <w:rsid w:val="00FD604B"/>
    <w:rsid w:val="00FF32CC"/>
    <w:rsid w:val="00FF5CC9"/>
    <w:rsid w:val="00FF6C30"/>
    <w:rsid w:val="00FF796C"/>
    <w:rsid w:val="00FF7B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31145"/>
      <o:colormenu v:ext="edit" fillcolor="none [2412]" strokecolor="none" shadowcolor="none [24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uiPriority="11" w:qFormat="1"/>
    <w:lsdException w:name="Body Text Indent 2"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691147"/>
    <w:pPr>
      <w:numPr>
        <w:numId w:val="19"/>
      </w:numPr>
      <w:tabs>
        <w:tab w:val="left" w:pos="1134"/>
      </w:tabs>
      <w:spacing w:before="120"/>
      <w:ind w:left="426" w:firstLine="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691147"/>
    <w:pPr>
      <w:numPr>
        <w:ilvl w:val="1"/>
        <w:numId w:val="20"/>
      </w:numPr>
      <w:tabs>
        <w:tab w:val="left" w:pos="1134"/>
      </w:tabs>
      <w:spacing w:before="60" w:after="120"/>
      <w:ind w:left="426" w:firstLine="0"/>
      <w:outlineLvl w:val="1"/>
    </w:pPr>
    <w:rPr>
      <w:rFonts w:ascii="Corbel" w:eastAsia="Times New Roman" w:hAnsi="Corbel"/>
      <w:b/>
      <w:bCs/>
      <w:color w:val="auto"/>
      <w:sz w:val="32"/>
      <w:szCs w:val="26"/>
    </w:rPr>
  </w:style>
  <w:style w:type="paragraph" w:styleId="Heading3">
    <w:name w:val="heading 3"/>
    <w:basedOn w:val="Normal"/>
    <w:next w:val="Normal"/>
    <w:link w:val="Heading3Char"/>
    <w:unhideWhenUsed/>
    <w:qFormat/>
    <w:rsid w:val="00691147"/>
    <w:pPr>
      <w:keepNext/>
      <w:keepLines/>
      <w:numPr>
        <w:ilvl w:val="2"/>
        <w:numId w:val="8"/>
      </w:numPr>
      <w:spacing w:before="60" w:after="240"/>
      <w:ind w:left="1135" w:hanging="709"/>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691147"/>
    <w:rPr>
      <w:rFonts w:ascii="Corbel" w:eastAsia="Times New Roman" w:hAnsi="Corbel"/>
      <w:b/>
      <w:bCs/>
      <w:sz w:val="40"/>
      <w:szCs w:val="28"/>
      <w:lang w:eastAsia="en-US"/>
    </w:rPr>
  </w:style>
  <w:style w:type="character" w:customStyle="1" w:styleId="Heading2Char">
    <w:name w:val="Heading 2 Char"/>
    <w:basedOn w:val="DefaultParagraphFont"/>
    <w:link w:val="Heading2"/>
    <w:rsid w:val="00691147"/>
    <w:rPr>
      <w:rFonts w:ascii="Corbel" w:eastAsia="Times New Roman" w:hAnsi="Corbel"/>
      <w:b/>
      <w:bCs/>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91147"/>
    <w:rPr>
      <w:rFonts w:ascii="Corbel" w:eastAsia="Times New Roman" w:hAnsi="Corbel"/>
      <w:b/>
      <w:bCs/>
      <w:i/>
      <w:sz w:val="28"/>
      <w:szCs w:val="28"/>
      <w:lang w:eastAsia="en-US"/>
    </w:rPr>
  </w:style>
  <w:style w:type="paragraph" w:customStyle="1" w:styleId="Bullet">
    <w:name w:val="Bullet"/>
    <w:basedOn w:val="ListParagraph"/>
    <w:qFormat/>
    <w:rsid w:val="00EA41E9"/>
    <w:pPr>
      <w:numPr>
        <w:numId w:val="1"/>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iPriority w:val="99"/>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paragraph" w:styleId="BodyTextIndent2">
    <w:name w:val="Body Text Indent 2"/>
    <w:basedOn w:val="Normal"/>
    <w:link w:val="BodyTextIndent2Char"/>
    <w:rsid w:val="007304A7"/>
    <w:pPr>
      <w:spacing w:after="0"/>
      <w:ind w:left="426"/>
      <w:jc w:val="both"/>
    </w:pPr>
    <w:rPr>
      <w:rFonts w:eastAsia="Times New Roman"/>
      <w:color w:val="auto"/>
      <w:szCs w:val="20"/>
    </w:rPr>
  </w:style>
  <w:style w:type="character" w:customStyle="1" w:styleId="Title2Char">
    <w:name w:val="Title 2 Char"/>
    <w:basedOn w:val="Heading2Char"/>
    <w:link w:val="Title2"/>
    <w:uiPriority w:val="1"/>
    <w:rsid w:val="00533982"/>
    <w:rPr>
      <w:rFonts w:ascii="Corbel" w:eastAsia="Times New Roman" w:hAnsi="Corbel"/>
      <w:b/>
      <w:bCs/>
      <w:sz w:val="44"/>
      <w:szCs w:val="44"/>
      <w:lang w:eastAsia="en-US"/>
    </w:rPr>
  </w:style>
  <w:style w:type="character" w:customStyle="1" w:styleId="BodyTextIndent2Char">
    <w:name w:val="Body Text Indent 2 Char"/>
    <w:basedOn w:val="DefaultParagraphFont"/>
    <w:link w:val="BodyTextIndent2"/>
    <w:rsid w:val="007304A7"/>
    <w:rPr>
      <w:rFonts w:ascii="Arial" w:eastAsia="Times New Roman" w:hAnsi="Arial"/>
      <w:sz w:val="24"/>
      <w:lang w:eastAsia="en-US"/>
    </w:rPr>
  </w:style>
  <w:style w:type="paragraph" w:styleId="BodyTextIndent">
    <w:name w:val="Body Text Indent"/>
    <w:basedOn w:val="Normal"/>
    <w:link w:val="BodyTextIndentChar"/>
    <w:uiPriority w:val="99"/>
    <w:semiHidden/>
    <w:unhideWhenUsed/>
    <w:rsid w:val="00370B14"/>
    <w:pPr>
      <w:spacing w:after="120"/>
      <w:ind w:left="283"/>
    </w:pPr>
  </w:style>
  <w:style w:type="character" w:customStyle="1" w:styleId="BodyTextIndentChar">
    <w:name w:val="Body Text Indent Char"/>
    <w:basedOn w:val="DefaultParagraphFont"/>
    <w:link w:val="BodyTextIndent"/>
    <w:uiPriority w:val="99"/>
    <w:semiHidden/>
    <w:rsid w:val="00370B14"/>
    <w:rPr>
      <w:rFonts w:ascii="Arial" w:hAnsi="Arial"/>
      <w:color w:val="000000"/>
      <w:sz w:val="24"/>
      <w:szCs w:val="24"/>
      <w:lang w:eastAsia="en-US"/>
    </w:rPr>
  </w:style>
  <w:style w:type="paragraph" w:customStyle="1" w:styleId="ChartTitle">
    <w:name w:val="Chart Title"/>
    <w:basedOn w:val="BodyText"/>
    <w:link w:val="ChartTitleChar"/>
    <w:autoRedefine/>
    <w:qFormat/>
    <w:rsid w:val="00D507CA"/>
    <w:pPr>
      <w:numPr>
        <w:numId w:val="11"/>
      </w:numPr>
      <w:tabs>
        <w:tab w:val="left" w:pos="1134"/>
      </w:tabs>
      <w:spacing w:after="240"/>
      <w:jc w:val="left"/>
    </w:pPr>
    <w:rPr>
      <w:rFonts w:ascii="Arial" w:hAnsi="Arial"/>
      <w:snapToGrid w:val="0"/>
      <w:color w:val="auto"/>
      <w:sz w:val="24"/>
      <w:szCs w:val="20"/>
    </w:rPr>
  </w:style>
  <w:style w:type="character" w:customStyle="1" w:styleId="ChartTitleChar">
    <w:name w:val="Chart Title Char"/>
    <w:basedOn w:val="BodyTextChar"/>
    <w:link w:val="ChartTitle"/>
    <w:rsid w:val="00D507CA"/>
    <w:rPr>
      <w:rFonts w:ascii="Arial" w:eastAsia="Times New Roman" w:hAnsi="Arial"/>
      <w:b/>
      <w:snapToGrid w:val="0"/>
      <w:color w:val="008040"/>
      <w:sz w:val="24"/>
      <w:szCs w:val="24"/>
      <w:lang w:eastAsia="en-US"/>
    </w:rPr>
  </w:style>
  <w:style w:type="paragraph" w:styleId="TOCHeading">
    <w:name w:val="TOC Heading"/>
    <w:basedOn w:val="Heading1"/>
    <w:next w:val="Normal"/>
    <w:uiPriority w:val="39"/>
    <w:unhideWhenUsed/>
    <w:qFormat/>
    <w:rsid w:val="00014ABA"/>
    <w:pPr>
      <w:keepNext/>
      <w:keepLines/>
      <w:spacing w:before="480" w:after="0" w:line="276" w:lineRule="auto"/>
      <w:outlineLvl w:val="9"/>
    </w:pPr>
    <w:rPr>
      <w:rFonts w:ascii="Cambria" w:hAnsi="Cambria"/>
      <w:color w:val="365F91"/>
      <w:sz w:val="28"/>
      <w:lang w:val="en-US"/>
    </w:rPr>
  </w:style>
  <w:style w:type="paragraph" w:customStyle="1" w:styleId="Wavebody">
    <w:name w:val="Wave body"/>
    <w:basedOn w:val="Normal"/>
    <w:qFormat/>
    <w:rsid w:val="00E46FEE"/>
    <w:pPr>
      <w:ind w:left="426"/>
    </w:pPr>
  </w:style>
  <w:style w:type="paragraph" w:customStyle="1" w:styleId="Wavebullet">
    <w:name w:val="Wave bullet"/>
    <w:basedOn w:val="Normal"/>
    <w:qFormat/>
    <w:rsid w:val="00E46FEE"/>
    <w:pPr>
      <w:numPr>
        <w:numId w:val="9"/>
      </w:numPr>
      <w:spacing w:before="120" w:after="0"/>
    </w:pPr>
  </w:style>
  <w:style w:type="paragraph" w:customStyle="1" w:styleId="wavebody0">
    <w:name w:val="wave body"/>
    <w:basedOn w:val="Normal"/>
    <w:link w:val="wavebodyChar"/>
    <w:qFormat/>
    <w:rsid w:val="002C232B"/>
    <w:pPr>
      <w:ind w:left="432"/>
    </w:pPr>
  </w:style>
  <w:style w:type="character" w:customStyle="1" w:styleId="wavebodyChar">
    <w:name w:val="wave body Char"/>
    <w:basedOn w:val="DefaultParagraphFont"/>
    <w:link w:val="wavebody0"/>
    <w:rsid w:val="002C232B"/>
    <w:rPr>
      <w:rFonts w:ascii="Arial" w:hAnsi="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uiPriority="11" w:qFormat="1"/>
    <w:lsdException w:name="Body Text Indent 2"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691147"/>
    <w:pPr>
      <w:numPr>
        <w:numId w:val="19"/>
      </w:numPr>
      <w:tabs>
        <w:tab w:val="left" w:pos="1134"/>
      </w:tabs>
      <w:spacing w:before="120"/>
      <w:ind w:left="426" w:firstLine="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691147"/>
    <w:pPr>
      <w:numPr>
        <w:ilvl w:val="1"/>
        <w:numId w:val="20"/>
      </w:numPr>
      <w:tabs>
        <w:tab w:val="left" w:pos="1134"/>
      </w:tabs>
      <w:spacing w:before="60" w:after="120"/>
      <w:ind w:left="426" w:firstLine="0"/>
      <w:outlineLvl w:val="1"/>
    </w:pPr>
    <w:rPr>
      <w:rFonts w:ascii="Corbel" w:eastAsia="Times New Roman" w:hAnsi="Corbel"/>
      <w:b/>
      <w:bCs/>
      <w:color w:val="auto"/>
      <w:sz w:val="32"/>
      <w:szCs w:val="26"/>
    </w:rPr>
  </w:style>
  <w:style w:type="paragraph" w:styleId="Heading3">
    <w:name w:val="heading 3"/>
    <w:basedOn w:val="Normal"/>
    <w:next w:val="Normal"/>
    <w:link w:val="Heading3Char"/>
    <w:unhideWhenUsed/>
    <w:qFormat/>
    <w:rsid w:val="00691147"/>
    <w:pPr>
      <w:keepNext/>
      <w:keepLines/>
      <w:numPr>
        <w:ilvl w:val="2"/>
        <w:numId w:val="8"/>
      </w:numPr>
      <w:spacing w:before="60" w:after="240"/>
      <w:ind w:left="1135" w:hanging="709"/>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691147"/>
    <w:rPr>
      <w:rFonts w:ascii="Corbel" w:eastAsia="Times New Roman" w:hAnsi="Corbel"/>
      <w:b/>
      <w:bCs/>
      <w:sz w:val="40"/>
      <w:szCs w:val="28"/>
      <w:lang w:eastAsia="en-US"/>
    </w:rPr>
  </w:style>
  <w:style w:type="character" w:customStyle="1" w:styleId="Heading2Char">
    <w:name w:val="Heading 2 Char"/>
    <w:basedOn w:val="DefaultParagraphFont"/>
    <w:link w:val="Heading2"/>
    <w:rsid w:val="00691147"/>
    <w:rPr>
      <w:rFonts w:ascii="Corbel" w:eastAsia="Times New Roman" w:hAnsi="Corbel"/>
      <w:b/>
      <w:bCs/>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91147"/>
    <w:rPr>
      <w:rFonts w:ascii="Corbel" w:eastAsia="Times New Roman" w:hAnsi="Corbel"/>
      <w:b/>
      <w:bCs/>
      <w:i/>
      <w:sz w:val="28"/>
      <w:szCs w:val="28"/>
      <w:lang w:eastAsia="en-US"/>
    </w:rPr>
  </w:style>
  <w:style w:type="paragraph" w:customStyle="1" w:styleId="Bullet">
    <w:name w:val="Bullet"/>
    <w:basedOn w:val="ListParagraph"/>
    <w:qFormat/>
    <w:rsid w:val="00EA41E9"/>
    <w:pPr>
      <w:numPr>
        <w:numId w:val="1"/>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iPriority w:val="99"/>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paragraph" w:styleId="BodyTextIndent2">
    <w:name w:val="Body Text Indent 2"/>
    <w:basedOn w:val="Normal"/>
    <w:link w:val="BodyTextIndent2Char"/>
    <w:rsid w:val="007304A7"/>
    <w:pPr>
      <w:spacing w:after="0"/>
      <w:ind w:left="426"/>
      <w:jc w:val="both"/>
    </w:pPr>
    <w:rPr>
      <w:rFonts w:eastAsia="Times New Roman"/>
      <w:color w:val="auto"/>
      <w:szCs w:val="20"/>
    </w:rPr>
  </w:style>
  <w:style w:type="character" w:customStyle="1" w:styleId="Title2Char">
    <w:name w:val="Title 2 Char"/>
    <w:basedOn w:val="Heading2Char"/>
    <w:link w:val="Title2"/>
    <w:uiPriority w:val="1"/>
    <w:rsid w:val="00533982"/>
    <w:rPr>
      <w:rFonts w:ascii="Corbel" w:eastAsia="Times New Roman" w:hAnsi="Corbel"/>
      <w:b/>
      <w:bCs/>
      <w:sz w:val="44"/>
      <w:szCs w:val="44"/>
      <w:lang w:eastAsia="en-US"/>
    </w:rPr>
  </w:style>
  <w:style w:type="character" w:customStyle="1" w:styleId="BodyTextIndent2Char">
    <w:name w:val="Body Text Indent 2 Char"/>
    <w:basedOn w:val="DefaultParagraphFont"/>
    <w:link w:val="BodyTextIndent2"/>
    <w:rsid w:val="007304A7"/>
    <w:rPr>
      <w:rFonts w:ascii="Arial" w:eastAsia="Times New Roman" w:hAnsi="Arial"/>
      <w:sz w:val="24"/>
      <w:lang w:eastAsia="en-US"/>
    </w:rPr>
  </w:style>
  <w:style w:type="paragraph" w:styleId="BodyTextIndent">
    <w:name w:val="Body Text Indent"/>
    <w:basedOn w:val="Normal"/>
    <w:link w:val="BodyTextIndentChar"/>
    <w:uiPriority w:val="99"/>
    <w:semiHidden/>
    <w:unhideWhenUsed/>
    <w:rsid w:val="00370B14"/>
    <w:pPr>
      <w:spacing w:after="120"/>
      <w:ind w:left="283"/>
    </w:pPr>
  </w:style>
  <w:style w:type="character" w:customStyle="1" w:styleId="BodyTextIndentChar">
    <w:name w:val="Body Text Indent Char"/>
    <w:basedOn w:val="DefaultParagraphFont"/>
    <w:link w:val="BodyTextIndent"/>
    <w:uiPriority w:val="99"/>
    <w:semiHidden/>
    <w:rsid w:val="00370B14"/>
    <w:rPr>
      <w:rFonts w:ascii="Arial" w:hAnsi="Arial"/>
      <w:color w:val="000000"/>
      <w:sz w:val="24"/>
      <w:szCs w:val="24"/>
      <w:lang w:eastAsia="en-US"/>
    </w:rPr>
  </w:style>
  <w:style w:type="paragraph" w:customStyle="1" w:styleId="ChartTitle">
    <w:name w:val="Chart Title"/>
    <w:basedOn w:val="BodyText"/>
    <w:link w:val="ChartTitleChar"/>
    <w:autoRedefine/>
    <w:qFormat/>
    <w:rsid w:val="00D507CA"/>
    <w:pPr>
      <w:numPr>
        <w:numId w:val="11"/>
      </w:numPr>
      <w:tabs>
        <w:tab w:val="left" w:pos="1134"/>
      </w:tabs>
      <w:spacing w:after="240"/>
      <w:jc w:val="left"/>
    </w:pPr>
    <w:rPr>
      <w:rFonts w:ascii="Arial" w:hAnsi="Arial"/>
      <w:snapToGrid w:val="0"/>
      <w:color w:val="auto"/>
      <w:sz w:val="24"/>
      <w:szCs w:val="20"/>
    </w:rPr>
  </w:style>
  <w:style w:type="character" w:customStyle="1" w:styleId="ChartTitleChar">
    <w:name w:val="Chart Title Char"/>
    <w:basedOn w:val="BodyTextChar"/>
    <w:link w:val="ChartTitle"/>
    <w:rsid w:val="00D507CA"/>
    <w:rPr>
      <w:rFonts w:ascii="Arial" w:eastAsia="Times New Roman" w:hAnsi="Arial"/>
      <w:b/>
      <w:snapToGrid w:val="0"/>
      <w:color w:val="008040"/>
      <w:sz w:val="24"/>
      <w:szCs w:val="24"/>
      <w:lang w:eastAsia="en-US"/>
    </w:rPr>
  </w:style>
  <w:style w:type="paragraph" w:styleId="TOCHeading">
    <w:name w:val="TOC Heading"/>
    <w:basedOn w:val="Heading1"/>
    <w:next w:val="Normal"/>
    <w:uiPriority w:val="39"/>
    <w:unhideWhenUsed/>
    <w:qFormat/>
    <w:rsid w:val="00014ABA"/>
    <w:pPr>
      <w:keepNext/>
      <w:keepLines/>
      <w:spacing w:before="480" w:after="0" w:line="276" w:lineRule="auto"/>
      <w:outlineLvl w:val="9"/>
    </w:pPr>
    <w:rPr>
      <w:rFonts w:ascii="Cambria" w:hAnsi="Cambria"/>
      <w:color w:val="365F91"/>
      <w:sz w:val="28"/>
      <w:lang w:val="en-US"/>
    </w:rPr>
  </w:style>
  <w:style w:type="paragraph" w:customStyle="1" w:styleId="Wavebody">
    <w:name w:val="Wave body"/>
    <w:basedOn w:val="Normal"/>
    <w:qFormat/>
    <w:rsid w:val="00E46FEE"/>
    <w:pPr>
      <w:ind w:left="426"/>
    </w:pPr>
  </w:style>
  <w:style w:type="paragraph" w:customStyle="1" w:styleId="Wavebullet">
    <w:name w:val="Wave bullet"/>
    <w:basedOn w:val="Normal"/>
    <w:qFormat/>
    <w:rsid w:val="00E46FEE"/>
    <w:pPr>
      <w:numPr>
        <w:numId w:val="9"/>
      </w:numPr>
      <w:spacing w:before="120" w:after="0"/>
    </w:pPr>
  </w:style>
  <w:style w:type="paragraph" w:customStyle="1" w:styleId="wavebody0">
    <w:name w:val="wave body"/>
    <w:basedOn w:val="Normal"/>
    <w:link w:val="wavebodyChar"/>
    <w:qFormat/>
    <w:rsid w:val="002C232B"/>
    <w:pPr>
      <w:ind w:left="432"/>
    </w:pPr>
  </w:style>
  <w:style w:type="character" w:customStyle="1" w:styleId="wavebodyChar">
    <w:name w:val="wave body Char"/>
    <w:basedOn w:val="DefaultParagraphFont"/>
    <w:link w:val="wavebody0"/>
    <w:rsid w:val="002C232B"/>
    <w:rPr>
      <w:rFonts w:ascii="Arial"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4403">
      <w:bodyDiv w:val="1"/>
      <w:marLeft w:val="0"/>
      <w:marRight w:val="0"/>
      <w:marTop w:val="0"/>
      <w:marBottom w:val="0"/>
      <w:divBdr>
        <w:top w:val="none" w:sz="0" w:space="0" w:color="auto"/>
        <w:left w:val="none" w:sz="0" w:space="0" w:color="auto"/>
        <w:bottom w:val="none" w:sz="0" w:space="0" w:color="auto"/>
        <w:right w:val="none" w:sz="0" w:space="0" w:color="auto"/>
      </w:divBdr>
    </w:div>
    <w:div w:id="1124883371">
      <w:bodyDiv w:val="1"/>
      <w:marLeft w:val="0"/>
      <w:marRight w:val="0"/>
      <w:marTop w:val="0"/>
      <w:marBottom w:val="0"/>
      <w:divBdr>
        <w:top w:val="none" w:sz="0" w:space="0" w:color="auto"/>
        <w:left w:val="none" w:sz="0" w:space="0" w:color="auto"/>
        <w:bottom w:val="none" w:sz="0" w:space="0" w:color="auto"/>
        <w:right w:val="none" w:sz="0" w:space="0" w:color="auto"/>
      </w:divBdr>
    </w:div>
    <w:div w:id="1186099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dwardson001\Local%20Settings\Temporary%20Internet%20Files\Content.IE5\U2JQ4YKJ\Full%20Report%20Template%5b1%5d.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oce\Policy%20Unit\Restricted%20Permissions\LIL\Waves\Wave%2043\W43%20MUQ.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orpdata02\oce\Policy%20Unit\Restricted%20Permissions\LIL\Waves\Wave%2043\W43%20MUQ.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orpdata02\oce\Policy%20Unit\Restricted%20Permissions\LIL\Waves\Wave%2043\W43%20MUQ.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908573928258971"/>
          <c:y val="1.8961955280591806E-2"/>
          <c:w val="0.4298531274210593"/>
          <c:h val="0.96207622190465747"/>
        </c:manualLayout>
      </c:layout>
      <c:barChart>
        <c:barDir val="bar"/>
        <c:grouping val="clustered"/>
        <c:varyColors val="0"/>
        <c:ser>
          <c:idx val="0"/>
          <c:order val="0"/>
          <c:tx>
            <c:strRef>
              <c:f>Budget!$H$1</c:f>
              <c:strCache>
                <c:ptCount val="1"/>
                <c:pt idx="0">
                  <c:v>2013</c:v>
                </c:pt>
              </c:strCache>
            </c:strRef>
          </c:tx>
          <c:spPr>
            <a:solidFill>
              <a:srgbClr val="5E752F"/>
            </a:solidFill>
            <a:ln>
              <a:solidFill>
                <a:sysClr val="windowText" lastClr="000000"/>
              </a:solidFill>
            </a:ln>
          </c:spPr>
          <c:invertIfNegative val="0"/>
          <c:dLbls>
            <c:dLbl>
              <c:idx val="20"/>
              <c:tx>
                <c:rich>
                  <a:bodyPr/>
                  <a:lstStyle/>
                  <a:p>
                    <a:r>
                      <a:rPr lang="en-US"/>
                      <a:t>&lt;1%</a:t>
                    </a:r>
                  </a:p>
                </c:rich>
              </c:tx>
              <c:showLegendKey val="0"/>
              <c:showVal val="1"/>
              <c:showCatName val="0"/>
              <c:showSerName val="0"/>
              <c:showPercent val="0"/>
              <c:showBubbleSize val="0"/>
            </c:dLbl>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Budget!$G$2:$G$22</c:f>
              <c:strCache>
                <c:ptCount val="21"/>
                <c:pt idx="0">
                  <c:v>Services for older people</c:v>
                </c:pt>
                <c:pt idx="1">
                  <c:v>Repairing roads and bridges</c:v>
                </c:pt>
                <c:pt idx="2">
                  <c:v>Primary and secondary education</c:v>
                </c:pt>
                <c:pt idx="3">
                  <c:v>Crime prevention</c:v>
                </c:pt>
                <c:pt idx="4">
                  <c:v>Children's social care</c:v>
                </c:pt>
                <c:pt idx="5">
                  <c:v>Keeping local bus services running</c:v>
                </c:pt>
                <c:pt idx="6">
                  <c:v>Support for businesses and attracting investment to Lancashire</c:v>
                </c:pt>
                <c:pt idx="7">
                  <c:v>Waste management</c:v>
                </c:pt>
                <c:pt idx="8">
                  <c:v>Traffic management</c:v>
                </c:pt>
                <c:pt idx="9">
                  <c:v>Services for adults with disabilities</c:v>
                </c:pt>
                <c:pt idx="10">
                  <c:v>Pupils who are socially disadvantaged and children with SEN</c:v>
                </c:pt>
                <c:pt idx="11">
                  <c:v>Welfare rights</c:v>
                </c:pt>
                <c:pt idx="12">
                  <c:v>Youth and community services</c:v>
                </c:pt>
                <c:pt idx="13">
                  <c:v>Country parks, open spaces and picnic sites</c:v>
                </c:pt>
                <c:pt idx="14">
                  <c:v>Nursery education</c:v>
                </c:pt>
                <c:pt idx="15">
                  <c:v>Libraries</c:v>
                </c:pt>
                <c:pt idx="16">
                  <c:v>Adult education</c:v>
                </c:pt>
                <c:pt idx="17">
                  <c:v>Trading standards</c:v>
                </c:pt>
                <c:pt idx="18">
                  <c:v>Museums</c:v>
                </c:pt>
                <c:pt idx="19">
                  <c:v>Don't know</c:v>
                </c:pt>
                <c:pt idx="20">
                  <c:v>None of these</c:v>
                </c:pt>
              </c:strCache>
            </c:strRef>
          </c:cat>
          <c:val>
            <c:numRef>
              <c:f>Budget!$H$2:$H$22</c:f>
              <c:numCache>
                <c:formatCode>###0%</c:formatCode>
                <c:ptCount val="21"/>
                <c:pt idx="0">
                  <c:v>0.6025788663099626</c:v>
                </c:pt>
                <c:pt idx="1">
                  <c:v>0.45327589516012101</c:v>
                </c:pt>
                <c:pt idx="2">
                  <c:v>0.45198622794575533</c:v>
                </c:pt>
                <c:pt idx="3">
                  <c:v>0.39378970232327404</c:v>
                </c:pt>
                <c:pt idx="4">
                  <c:v>0.32853160503883011</c:v>
                </c:pt>
                <c:pt idx="5">
                  <c:v>0.29354440808721982</c:v>
                </c:pt>
                <c:pt idx="6">
                  <c:v>0.26749125788194944</c:v>
                </c:pt>
                <c:pt idx="7">
                  <c:v>0.24160428984041801</c:v>
                </c:pt>
                <c:pt idx="8">
                  <c:v>0.21744585036115358</c:v>
                </c:pt>
                <c:pt idx="9">
                  <c:v>0.21557922676141342</c:v>
                </c:pt>
                <c:pt idx="10">
                  <c:v>0.19306037327790809</c:v>
                </c:pt>
                <c:pt idx="11">
                  <c:v>0.1488840048497104</c:v>
                </c:pt>
                <c:pt idx="12">
                  <c:v>0.1396749383253518</c:v>
                </c:pt>
                <c:pt idx="13">
                  <c:v>0.12720191366953615</c:v>
                </c:pt>
                <c:pt idx="14">
                  <c:v>0.11315718023977038</c:v>
                </c:pt>
                <c:pt idx="15">
                  <c:v>0.10443144634656706</c:v>
                </c:pt>
                <c:pt idx="16">
                  <c:v>6.367117465043233E-2</c:v>
                </c:pt>
                <c:pt idx="17">
                  <c:v>6.3289657851990255E-2</c:v>
                </c:pt>
                <c:pt idx="18">
                  <c:v>2.9939706302283011E-2</c:v>
                </c:pt>
                <c:pt idx="19">
                  <c:v>1.3912489876931581E-2</c:v>
                </c:pt>
                <c:pt idx="20" formatCode="####%">
                  <c:v>1.4769147228034702E-3</c:v>
                </c:pt>
              </c:numCache>
            </c:numRef>
          </c:val>
        </c:ser>
        <c:ser>
          <c:idx val="1"/>
          <c:order val="1"/>
          <c:tx>
            <c:strRef>
              <c:f>Budget!$I$1</c:f>
              <c:strCache>
                <c:ptCount val="1"/>
                <c:pt idx="0">
                  <c:v>2012</c:v>
                </c:pt>
              </c:strCache>
            </c:strRef>
          </c:tx>
          <c:spPr>
            <a:solidFill>
              <a:srgbClr val="B0CA7C"/>
            </a:solidFill>
            <a:ln>
              <a:solidFill>
                <a:sysClr val="windowText" lastClr="000000"/>
              </a:solidFill>
            </a:ln>
          </c:spPr>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Budget!$G$2:$G$22</c:f>
              <c:strCache>
                <c:ptCount val="21"/>
                <c:pt idx="0">
                  <c:v>Services for older people</c:v>
                </c:pt>
                <c:pt idx="1">
                  <c:v>Repairing roads and bridges</c:v>
                </c:pt>
                <c:pt idx="2">
                  <c:v>Primary and secondary education</c:v>
                </c:pt>
                <c:pt idx="3">
                  <c:v>Crime prevention</c:v>
                </c:pt>
                <c:pt idx="4">
                  <c:v>Children's social care</c:v>
                </c:pt>
                <c:pt idx="5">
                  <c:v>Keeping local bus services running</c:v>
                </c:pt>
                <c:pt idx="6">
                  <c:v>Support for businesses and attracting investment to Lancashire</c:v>
                </c:pt>
                <c:pt idx="7">
                  <c:v>Waste management</c:v>
                </c:pt>
                <c:pt idx="8">
                  <c:v>Traffic management</c:v>
                </c:pt>
                <c:pt idx="9">
                  <c:v>Services for adults with disabilities</c:v>
                </c:pt>
                <c:pt idx="10">
                  <c:v>Pupils who are socially disadvantaged and children with SEN</c:v>
                </c:pt>
                <c:pt idx="11">
                  <c:v>Welfare rights</c:v>
                </c:pt>
                <c:pt idx="12">
                  <c:v>Youth and community services</c:v>
                </c:pt>
                <c:pt idx="13">
                  <c:v>Country parks, open spaces and picnic sites</c:v>
                </c:pt>
                <c:pt idx="14">
                  <c:v>Nursery education</c:v>
                </c:pt>
                <c:pt idx="15">
                  <c:v>Libraries</c:v>
                </c:pt>
                <c:pt idx="16">
                  <c:v>Adult education</c:v>
                </c:pt>
                <c:pt idx="17">
                  <c:v>Trading standards</c:v>
                </c:pt>
                <c:pt idx="18">
                  <c:v>Museums</c:v>
                </c:pt>
                <c:pt idx="19">
                  <c:v>Don't know</c:v>
                </c:pt>
                <c:pt idx="20">
                  <c:v>None of these</c:v>
                </c:pt>
              </c:strCache>
            </c:strRef>
          </c:cat>
          <c:val>
            <c:numRef>
              <c:f>Budget!$I$2:$I$22</c:f>
              <c:numCache>
                <c:formatCode>###0%</c:formatCode>
                <c:ptCount val="21"/>
                <c:pt idx="0">
                  <c:v>0.53237748171315946</c:v>
                </c:pt>
                <c:pt idx="1">
                  <c:v>0.39150651965620192</c:v>
                </c:pt>
                <c:pt idx="2">
                  <c:v>0.45265475700936531</c:v>
                </c:pt>
                <c:pt idx="3">
                  <c:v>0.43633687895134604</c:v>
                </c:pt>
                <c:pt idx="4">
                  <c:v>0.27097947781980097</c:v>
                </c:pt>
                <c:pt idx="5">
                  <c:v>0.29167890515961503</c:v>
                </c:pt>
                <c:pt idx="6">
                  <c:v>0.28065312025864031</c:v>
                </c:pt>
                <c:pt idx="7">
                  <c:v>0.2284816908769392</c:v>
                </c:pt>
                <c:pt idx="8">
                  <c:v>0.14396721636912857</c:v>
                </c:pt>
                <c:pt idx="9">
                  <c:v>0.19577301022361587</c:v>
                </c:pt>
                <c:pt idx="10">
                  <c:v>0.18396632506922866</c:v>
                </c:pt>
                <c:pt idx="11">
                  <c:v>0.12247169616396728</c:v>
                </c:pt>
                <c:pt idx="12">
                  <c:v>0.12455409683973467</c:v>
                </c:pt>
                <c:pt idx="13">
                  <c:v>9.0852832206717166E-2</c:v>
                </c:pt>
                <c:pt idx="14">
                  <c:v>0.10610115038457606</c:v>
                </c:pt>
                <c:pt idx="15">
                  <c:v>0.11412791368975921</c:v>
                </c:pt>
                <c:pt idx="16">
                  <c:v>5.7852453404259374E-2</c:v>
                </c:pt>
                <c:pt idx="17">
                  <c:v>5.9812300343758396E-2</c:v>
                </c:pt>
                <c:pt idx="18">
                  <c:v>1.8566384624266522E-2</c:v>
                </c:pt>
                <c:pt idx="19" formatCode="####%">
                  <c:v>9.8883646875082692E-3</c:v>
                </c:pt>
                <c:pt idx="20" formatCode="0%">
                  <c:v>1.9527570539297286E-3</c:v>
                </c:pt>
              </c:numCache>
            </c:numRef>
          </c:val>
        </c:ser>
        <c:ser>
          <c:idx val="2"/>
          <c:order val="2"/>
          <c:tx>
            <c:strRef>
              <c:f>Budget!$J$1</c:f>
              <c:strCache>
                <c:ptCount val="1"/>
                <c:pt idx="0">
                  <c:v>2011</c:v>
                </c:pt>
              </c:strCache>
            </c:strRef>
          </c:tx>
          <c:spPr>
            <a:solidFill>
              <a:srgbClr val="9BBB59">
                <a:lumMod val="40000"/>
                <a:lumOff val="60000"/>
              </a:srgbClr>
            </a:solidFill>
            <a:ln>
              <a:solidFill>
                <a:sysClr val="windowText" lastClr="000000"/>
              </a:solidFill>
            </a:ln>
          </c:spPr>
          <c:invertIfNegative val="0"/>
          <c:dLbls>
            <c:showLegendKey val="0"/>
            <c:showVal val="1"/>
            <c:showCatName val="0"/>
            <c:showSerName val="0"/>
            <c:showPercent val="0"/>
            <c:showBubbleSize val="0"/>
            <c:showLeaderLines val="0"/>
          </c:dLbls>
          <c:cat>
            <c:strRef>
              <c:f>Budget!$G$2:$G$22</c:f>
              <c:strCache>
                <c:ptCount val="21"/>
                <c:pt idx="0">
                  <c:v>Services for older people</c:v>
                </c:pt>
                <c:pt idx="1">
                  <c:v>Repairing roads and bridges</c:v>
                </c:pt>
                <c:pt idx="2">
                  <c:v>Primary and secondary education</c:v>
                </c:pt>
                <c:pt idx="3">
                  <c:v>Crime prevention</c:v>
                </c:pt>
                <c:pt idx="4">
                  <c:v>Children's social care</c:v>
                </c:pt>
                <c:pt idx="5">
                  <c:v>Keeping local bus services running</c:v>
                </c:pt>
                <c:pt idx="6">
                  <c:v>Support for businesses and attracting investment to Lancashire</c:v>
                </c:pt>
                <c:pt idx="7">
                  <c:v>Waste management</c:v>
                </c:pt>
                <c:pt idx="8">
                  <c:v>Traffic management</c:v>
                </c:pt>
                <c:pt idx="9">
                  <c:v>Services for adults with disabilities</c:v>
                </c:pt>
                <c:pt idx="10">
                  <c:v>Pupils who are socially disadvantaged and children with SEN</c:v>
                </c:pt>
                <c:pt idx="11">
                  <c:v>Welfare rights</c:v>
                </c:pt>
                <c:pt idx="12">
                  <c:v>Youth and community services</c:v>
                </c:pt>
                <c:pt idx="13">
                  <c:v>Country parks, open spaces and picnic sites</c:v>
                </c:pt>
                <c:pt idx="14">
                  <c:v>Nursery education</c:v>
                </c:pt>
                <c:pt idx="15">
                  <c:v>Libraries</c:v>
                </c:pt>
                <c:pt idx="16">
                  <c:v>Adult education</c:v>
                </c:pt>
                <c:pt idx="17">
                  <c:v>Trading standards</c:v>
                </c:pt>
                <c:pt idx="18">
                  <c:v>Museums</c:v>
                </c:pt>
                <c:pt idx="19">
                  <c:v>Don't know</c:v>
                </c:pt>
                <c:pt idx="20">
                  <c:v>None of these</c:v>
                </c:pt>
              </c:strCache>
            </c:strRef>
          </c:cat>
          <c:val>
            <c:numRef>
              <c:f>Budget!$J$2:$J$22</c:f>
              <c:numCache>
                <c:formatCode>###0%</c:formatCode>
                <c:ptCount val="21"/>
                <c:pt idx="0">
                  <c:v>0.56874222793297369</c:v>
                </c:pt>
                <c:pt idx="1">
                  <c:v>0.38692712458447137</c:v>
                </c:pt>
                <c:pt idx="2">
                  <c:v>0.45538245624596707</c:v>
                </c:pt>
                <c:pt idx="3">
                  <c:v>0.36314671593130265</c:v>
                </c:pt>
                <c:pt idx="4">
                  <c:v>0.28990350878843196</c:v>
                </c:pt>
                <c:pt idx="5">
                  <c:v>0.313892740301495</c:v>
                </c:pt>
                <c:pt idx="6">
                  <c:v>0.28501874702521474</c:v>
                </c:pt>
                <c:pt idx="7">
                  <c:v>0.29292955896988254</c:v>
                </c:pt>
                <c:pt idx="8">
                  <c:v>0.17401528733837374</c:v>
                </c:pt>
                <c:pt idx="9">
                  <c:v>0.18196654695410194</c:v>
                </c:pt>
                <c:pt idx="10">
                  <c:v>0.20922921789254442</c:v>
                </c:pt>
                <c:pt idx="11">
                  <c:v>0.10691636362268132</c:v>
                </c:pt>
                <c:pt idx="12">
                  <c:v>0.15645065101937508</c:v>
                </c:pt>
                <c:pt idx="13">
                  <c:v>8.724186390393375E-2</c:v>
                </c:pt>
                <c:pt idx="14">
                  <c:v>9.7447846020419254E-2</c:v>
                </c:pt>
                <c:pt idx="15">
                  <c:v>9.6398087859866491E-2</c:v>
                </c:pt>
                <c:pt idx="16">
                  <c:v>5.1517163922182349E-2</c:v>
                </c:pt>
                <c:pt idx="17">
                  <c:v>4.2191624133902449E-2</c:v>
                </c:pt>
                <c:pt idx="18">
                  <c:v>1.9724353824938687E-2</c:v>
                </c:pt>
                <c:pt idx="19">
                  <c:v>1.5957076555212921E-2</c:v>
                </c:pt>
                <c:pt idx="20">
                  <c:v>5.8432775030053492E-3</c:v>
                </c:pt>
              </c:numCache>
            </c:numRef>
          </c:val>
        </c:ser>
        <c:dLbls>
          <c:showLegendKey val="0"/>
          <c:showVal val="0"/>
          <c:showCatName val="0"/>
          <c:showSerName val="0"/>
          <c:showPercent val="0"/>
          <c:showBubbleSize val="0"/>
        </c:dLbls>
        <c:gapWidth val="51"/>
        <c:overlap val="-30"/>
        <c:axId val="97585408"/>
        <c:axId val="98359552"/>
      </c:barChart>
      <c:catAx>
        <c:axId val="97585408"/>
        <c:scaling>
          <c:orientation val="maxMin"/>
        </c:scaling>
        <c:delete val="0"/>
        <c:axPos val="l"/>
        <c:numFmt formatCode="General" sourceLinked="1"/>
        <c:majorTickMark val="out"/>
        <c:minorTickMark val="none"/>
        <c:tickLblPos val="nextTo"/>
        <c:spPr>
          <a:ln>
            <a:noFill/>
          </a:ln>
        </c:spPr>
        <c:txPr>
          <a:bodyPr rot="0" vert="horz"/>
          <a:lstStyle/>
          <a:p>
            <a:pPr>
              <a:defRPr sz="1000" b="0" i="0" u="none" strike="noStrike" baseline="0">
                <a:solidFill>
                  <a:srgbClr val="000000"/>
                </a:solidFill>
                <a:latin typeface="Calibri"/>
                <a:ea typeface="Calibri"/>
                <a:cs typeface="Calibri"/>
              </a:defRPr>
            </a:pPr>
            <a:endParaRPr lang="en-US"/>
          </a:p>
        </c:txPr>
        <c:crossAx val="98359552"/>
        <c:crosses val="autoZero"/>
        <c:auto val="1"/>
        <c:lblAlgn val="ctr"/>
        <c:lblOffset val="100"/>
        <c:noMultiLvlLbl val="0"/>
      </c:catAx>
      <c:valAx>
        <c:axId val="98359552"/>
        <c:scaling>
          <c:orientation val="minMax"/>
        </c:scaling>
        <c:delete val="0"/>
        <c:axPos val="t"/>
        <c:numFmt formatCode="###0%" sourceLinked="1"/>
        <c:majorTickMark val="none"/>
        <c:minorTickMark val="none"/>
        <c:tickLblPos val="none"/>
        <c:spPr>
          <a:ln>
            <a:noFill/>
          </a:ln>
        </c:spPr>
        <c:crossAx val="97585408"/>
        <c:crosses val="autoZero"/>
        <c:crossBetween val="between"/>
      </c:valAx>
      <c:spPr>
        <a:noFill/>
        <a:ln w="25400">
          <a:noFill/>
        </a:ln>
      </c:spPr>
    </c:plotArea>
    <c:legend>
      <c:legendPos val="r"/>
      <c:layout>
        <c:manualLayout>
          <c:xMode val="edge"/>
          <c:yMode val="edge"/>
          <c:x val="0.7977952755905523"/>
          <c:y val="0.58642979236136439"/>
          <c:w val="9.0826186295058564E-2"/>
          <c:h val="0.11912815490104683"/>
        </c:manualLayout>
      </c:layout>
      <c:overlay val="1"/>
      <c:spPr>
        <a:ln>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908573928258971"/>
          <c:y val="2.8931927243623149E-2"/>
          <c:w val="0.4298531274210593"/>
          <c:h val="0.95228723150577399"/>
        </c:manualLayout>
      </c:layout>
      <c:barChart>
        <c:barDir val="bar"/>
        <c:grouping val="clustered"/>
        <c:varyColors val="0"/>
        <c:ser>
          <c:idx val="0"/>
          <c:order val="0"/>
          <c:tx>
            <c:strRef>
              <c:f>Budget!$H$27</c:f>
              <c:strCache>
                <c:ptCount val="1"/>
                <c:pt idx="0">
                  <c:v>2013</c:v>
                </c:pt>
              </c:strCache>
            </c:strRef>
          </c:tx>
          <c:spPr>
            <a:solidFill>
              <a:srgbClr val="F6862A"/>
            </a:solidFill>
            <a:ln>
              <a:solidFill>
                <a:sysClr val="windowText" lastClr="000000"/>
              </a:solidFill>
            </a:ln>
          </c:spPr>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Budget!$G$28:$G$48</c:f>
              <c:strCache>
                <c:ptCount val="21"/>
                <c:pt idx="0">
                  <c:v>Museums</c:v>
                </c:pt>
                <c:pt idx="1">
                  <c:v>Country parks, open spaces and picnic sites</c:v>
                </c:pt>
                <c:pt idx="2">
                  <c:v>Adult education</c:v>
                </c:pt>
                <c:pt idx="3">
                  <c:v>Welfare rights</c:v>
                </c:pt>
                <c:pt idx="4">
                  <c:v>Trading standards</c:v>
                </c:pt>
                <c:pt idx="5">
                  <c:v>Libraries</c:v>
                </c:pt>
                <c:pt idx="6">
                  <c:v>Nursery education</c:v>
                </c:pt>
                <c:pt idx="7">
                  <c:v>Traffic management</c:v>
                </c:pt>
                <c:pt idx="8">
                  <c:v>Don't know</c:v>
                </c:pt>
                <c:pt idx="9">
                  <c:v>Support for businesses and attracting investment to Lancashire</c:v>
                </c:pt>
                <c:pt idx="10">
                  <c:v>Youth and community services</c:v>
                </c:pt>
                <c:pt idx="11">
                  <c:v>Waste management</c:v>
                </c:pt>
                <c:pt idx="12">
                  <c:v>Keeping local bus services running</c:v>
                </c:pt>
                <c:pt idx="13">
                  <c:v>None of these</c:v>
                </c:pt>
                <c:pt idx="14">
                  <c:v>Pupils who are socially disadvantaged and children with SEN</c:v>
                </c:pt>
                <c:pt idx="15">
                  <c:v>Primary and secondary education</c:v>
                </c:pt>
                <c:pt idx="16">
                  <c:v>Services for adults with disabilities</c:v>
                </c:pt>
                <c:pt idx="17">
                  <c:v>Children's social care</c:v>
                </c:pt>
                <c:pt idx="18">
                  <c:v>Repairing roads and bridges</c:v>
                </c:pt>
                <c:pt idx="19">
                  <c:v>Crime prevention</c:v>
                </c:pt>
                <c:pt idx="20">
                  <c:v>Services for older people</c:v>
                </c:pt>
              </c:strCache>
            </c:strRef>
          </c:cat>
          <c:val>
            <c:numRef>
              <c:f>Budget!$H$28:$H$48</c:f>
              <c:numCache>
                <c:formatCode>###0%</c:formatCode>
                <c:ptCount val="21"/>
                <c:pt idx="0">
                  <c:v>0.44758702358518276</c:v>
                </c:pt>
                <c:pt idx="1">
                  <c:v>0.27710245255390425</c:v>
                </c:pt>
                <c:pt idx="2">
                  <c:v>0.27499665498307435</c:v>
                </c:pt>
                <c:pt idx="3">
                  <c:v>0.26420756861661315</c:v>
                </c:pt>
                <c:pt idx="4">
                  <c:v>0.2396582705699779</c:v>
                </c:pt>
                <c:pt idx="5">
                  <c:v>0.22441624765379872</c:v>
                </c:pt>
                <c:pt idx="6">
                  <c:v>0.19055217163500637</c:v>
                </c:pt>
                <c:pt idx="7">
                  <c:v>0.16320431363378865</c:v>
                </c:pt>
                <c:pt idx="8">
                  <c:v>0.13379942653279933</c:v>
                </c:pt>
                <c:pt idx="9">
                  <c:v>0.12831109782830241</c:v>
                </c:pt>
                <c:pt idx="10">
                  <c:v>0.1078133343003661</c:v>
                </c:pt>
                <c:pt idx="11">
                  <c:v>8.0201626365986114E-2</c:v>
                </c:pt>
                <c:pt idx="12">
                  <c:v>7.955513150605785E-2</c:v>
                </c:pt>
                <c:pt idx="13">
                  <c:v>7.290886423232798E-2</c:v>
                </c:pt>
                <c:pt idx="14">
                  <c:v>4.612997172679148E-2</c:v>
                </c:pt>
                <c:pt idx="15">
                  <c:v>4.2679915017812965E-2</c:v>
                </c:pt>
                <c:pt idx="16">
                  <c:v>4.0742931385262138E-2</c:v>
                </c:pt>
                <c:pt idx="17">
                  <c:v>3.6887721224413757E-2</c:v>
                </c:pt>
                <c:pt idx="18">
                  <c:v>3.6198710261511551E-2</c:v>
                </c:pt>
                <c:pt idx="19">
                  <c:v>3.2513564512559129E-2</c:v>
                </c:pt>
                <c:pt idx="20">
                  <c:v>2.2776126457895916E-2</c:v>
                </c:pt>
              </c:numCache>
            </c:numRef>
          </c:val>
        </c:ser>
        <c:ser>
          <c:idx val="1"/>
          <c:order val="1"/>
          <c:tx>
            <c:strRef>
              <c:f>Budget!$I$27</c:f>
              <c:strCache>
                <c:ptCount val="1"/>
                <c:pt idx="0">
                  <c:v>2012</c:v>
                </c:pt>
              </c:strCache>
            </c:strRef>
          </c:tx>
          <c:spPr>
            <a:solidFill>
              <a:srgbClr val="FAC090"/>
            </a:solidFill>
            <a:ln>
              <a:solidFill>
                <a:sysClr val="windowText" lastClr="000000"/>
              </a:solidFill>
            </a:ln>
          </c:spPr>
          <c:invertIfNegative val="0"/>
          <c:dLbls>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Budget!$G$28:$G$48</c:f>
              <c:strCache>
                <c:ptCount val="21"/>
                <c:pt idx="0">
                  <c:v>Museums</c:v>
                </c:pt>
                <c:pt idx="1">
                  <c:v>Country parks, open spaces and picnic sites</c:v>
                </c:pt>
                <c:pt idx="2">
                  <c:v>Adult education</c:v>
                </c:pt>
                <c:pt idx="3">
                  <c:v>Welfare rights</c:v>
                </c:pt>
                <c:pt idx="4">
                  <c:v>Trading standards</c:v>
                </c:pt>
                <c:pt idx="5">
                  <c:v>Libraries</c:v>
                </c:pt>
                <c:pt idx="6">
                  <c:v>Nursery education</c:v>
                </c:pt>
                <c:pt idx="7">
                  <c:v>Traffic management</c:v>
                </c:pt>
                <c:pt idx="8">
                  <c:v>Don't know</c:v>
                </c:pt>
                <c:pt idx="9">
                  <c:v>Support for businesses and attracting investment to Lancashire</c:v>
                </c:pt>
                <c:pt idx="10">
                  <c:v>Youth and community services</c:v>
                </c:pt>
                <c:pt idx="11">
                  <c:v>Waste management</c:v>
                </c:pt>
                <c:pt idx="12">
                  <c:v>Keeping local bus services running</c:v>
                </c:pt>
                <c:pt idx="13">
                  <c:v>None of these</c:v>
                </c:pt>
                <c:pt idx="14">
                  <c:v>Pupils who are socially disadvantaged and children with SEN</c:v>
                </c:pt>
                <c:pt idx="15">
                  <c:v>Primary and secondary education</c:v>
                </c:pt>
                <c:pt idx="16">
                  <c:v>Services for adults with disabilities</c:v>
                </c:pt>
                <c:pt idx="17">
                  <c:v>Children's social care</c:v>
                </c:pt>
                <c:pt idx="18">
                  <c:v>Repairing roads and bridges</c:v>
                </c:pt>
                <c:pt idx="19">
                  <c:v>Crime prevention</c:v>
                </c:pt>
                <c:pt idx="20">
                  <c:v>Services for older people</c:v>
                </c:pt>
              </c:strCache>
            </c:strRef>
          </c:cat>
          <c:val>
            <c:numRef>
              <c:f>Budget!$I$28:$I$48</c:f>
              <c:numCache>
                <c:formatCode>###0%</c:formatCode>
                <c:ptCount val="21"/>
                <c:pt idx="0">
                  <c:v>0.40322297461330442</c:v>
                </c:pt>
                <c:pt idx="1">
                  <c:v>0.28038080044392188</c:v>
                </c:pt>
                <c:pt idx="2">
                  <c:v>0.30218665464382438</c:v>
                </c:pt>
                <c:pt idx="3">
                  <c:v>0.26692879933412089</c:v>
                </c:pt>
                <c:pt idx="4">
                  <c:v>0.23917618956787229</c:v>
                </c:pt>
                <c:pt idx="5">
                  <c:v>0.18853935458139798</c:v>
                </c:pt>
                <c:pt idx="6">
                  <c:v>0.17653746445168986</c:v>
                </c:pt>
                <c:pt idx="7">
                  <c:v>0.19631446382742679</c:v>
                </c:pt>
                <c:pt idx="8">
                  <c:v>0.10507777276826009</c:v>
                </c:pt>
                <c:pt idx="9">
                  <c:v>0.11810817957966338</c:v>
                </c:pt>
                <c:pt idx="10">
                  <c:v>0.11121635915932614</c:v>
                </c:pt>
                <c:pt idx="11">
                  <c:v>6.8896528403967719E-2</c:v>
                </c:pt>
                <c:pt idx="12">
                  <c:v>9.96002982590002E-2</c:v>
                </c:pt>
                <c:pt idx="13">
                  <c:v>8.4710107858778083E-2</c:v>
                </c:pt>
                <c:pt idx="14">
                  <c:v>3.7719142331969324E-2</c:v>
                </c:pt>
                <c:pt idx="15">
                  <c:v>4.3154349032392389E-2</c:v>
                </c:pt>
                <c:pt idx="16">
                  <c:v>2.4577105153638132E-2</c:v>
                </c:pt>
                <c:pt idx="17">
                  <c:v>2.7574868211139709E-2</c:v>
                </c:pt>
                <c:pt idx="18">
                  <c:v>4.4655398141083553E-2</c:v>
                </c:pt>
                <c:pt idx="19">
                  <c:v>3.7942403065825185E-2</c:v>
                </c:pt>
                <c:pt idx="20">
                  <c:v>1.378580842061459E-2</c:v>
                </c:pt>
              </c:numCache>
            </c:numRef>
          </c:val>
        </c:ser>
        <c:ser>
          <c:idx val="2"/>
          <c:order val="2"/>
          <c:tx>
            <c:strRef>
              <c:f>Budget!$J$27</c:f>
              <c:strCache>
                <c:ptCount val="1"/>
                <c:pt idx="0">
                  <c:v>2011</c:v>
                </c:pt>
              </c:strCache>
            </c:strRef>
          </c:tx>
          <c:spPr>
            <a:solidFill>
              <a:srgbClr val="F79646">
                <a:lumMod val="20000"/>
                <a:lumOff val="80000"/>
              </a:srgbClr>
            </a:solidFill>
            <a:ln>
              <a:solidFill>
                <a:sysClr val="windowText" lastClr="000000"/>
              </a:solidFill>
            </a:ln>
          </c:spPr>
          <c:invertIfNegative val="0"/>
          <c:dLbls>
            <c:showLegendKey val="0"/>
            <c:showVal val="1"/>
            <c:showCatName val="0"/>
            <c:showSerName val="0"/>
            <c:showPercent val="0"/>
            <c:showBubbleSize val="0"/>
            <c:showLeaderLines val="0"/>
          </c:dLbls>
          <c:cat>
            <c:strRef>
              <c:f>Budget!$G$28:$G$48</c:f>
              <c:strCache>
                <c:ptCount val="21"/>
                <c:pt idx="0">
                  <c:v>Museums</c:v>
                </c:pt>
                <c:pt idx="1">
                  <c:v>Country parks, open spaces and picnic sites</c:v>
                </c:pt>
                <c:pt idx="2">
                  <c:v>Adult education</c:v>
                </c:pt>
                <c:pt idx="3">
                  <c:v>Welfare rights</c:v>
                </c:pt>
                <c:pt idx="4">
                  <c:v>Trading standards</c:v>
                </c:pt>
                <c:pt idx="5">
                  <c:v>Libraries</c:v>
                </c:pt>
                <c:pt idx="6">
                  <c:v>Nursery education</c:v>
                </c:pt>
                <c:pt idx="7">
                  <c:v>Traffic management</c:v>
                </c:pt>
                <c:pt idx="8">
                  <c:v>Don't know</c:v>
                </c:pt>
                <c:pt idx="9">
                  <c:v>Support for businesses and attracting investment to Lancashire</c:v>
                </c:pt>
                <c:pt idx="10">
                  <c:v>Youth and community services</c:v>
                </c:pt>
                <c:pt idx="11">
                  <c:v>Waste management</c:v>
                </c:pt>
                <c:pt idx="12">
                  <c:v>Keeping local bus services running</c:v>
                </c:pt>
                <c:pt idx="13">
                  <c:v>None of these</c:v>
                </c:pt>
                <c:pt idx="14">
                  <c:v>Pupils who are socially disadvantaged and children with SEN</c:v>
                </c:pt>
                <c:pt idx="15">
                  <c:v>Primary and secondary education</c:v>
                </c:pt>
                <c:pt idx="16">
                  <c:v>Services for adults with disabilities</c:v>
                </c:pt>
                <c:pt idx="17">
                  <c:v>Children's social care</c:v>
                </c:pt>
                <c:pt idx="18">
                  <c:v>Repairing roads and bridges</c:v>
                </c:pt>
                <c:pt idx="19">
                  <c:v>Crime prevention</c:v>
                </c:pt>
                <c:pt idx="20">
                  <c:v>Services for older people</c:v>
                </c:pt>
              </c:strCache>
            </c:strRef>
          </c:cat>
          <c:val>
            <c:numRef>
              <c:f>Budget!$J$28:$J$48</c:f>
              <c:numCache>
                <c:formatCode>###0%</c:formatCode>
                <c:ptCount val="21"/>
                <c:pt idx="0">
                  <c:v>0.5160746539449067</c:v>
                </c:pt>
                <c:pt idx="1">
                  <c:v>0.30726411961478334</c:v>
                </c:pt>
                <c:pt idx="2">
                  <c:v>0.28042308221896434</c:v>
                </c:pt>
                <c:pt idx="3">
                  <c:v>0.26871613357848045</c:v>
                </c:pt>
                <c:pt idx="4">
                  <c:v>0.26639863764852567</c:v>
                </c:pt>
                <c:pt idx="5">
                  <c:v>0.23303540331921244</c:v>
                </c:pt>
                <c:pt idx="6">
                  <c:v>0.17465657727416267</c:v>
                </c:pt>
                <c:pt idx="7">
                  <c:v>0.18132355442521195</c:v>
                </c:pt>
                <c:pt idx="8">
                  <c:v>0.10743097122214734</c:v>
                </c:pt>
                <c:pt idx="9">
                  <c:v>0.11096340604067589</c:v>
                </c:pt>
                <c:pt idx="10">
                  <c:v>0.12634554481909538</c:v>
                </c:pt>
                <c:pt idx="11">
                  <c:v>5.8126726225670722E-2</c:v>
                </c:pt>
                <c:pt idx="12">
                  <c:v>7.5991390133076139E-2</c:v>
                </c:pt>
                <c:pt idx="13">
                  <c:v>5.8439572989478487E-2</c:v>
                </c:pt>
                <c:pt idx="14">
                  <c:v>4.4926415201315309E-2</c:v>
                </c:pt>
                <c:pt idx="15">
                  <c:v>2.9758915626543942E-2</c:v>
                </c:pt>
                <c:pt idx="16">
                  <c:v>4.080169767460691E-2</c:v>
                </c:pt>
                <c:pt idx="17">
                  <c:v>2.3060552554206467E-2</c:v>
                </c:pt>
                <c:pt idx="18">
                  <c:v>2.7576075423406163E-2</c:v>
                </c:pt>
                <c:pt idx="19">
                  <c:v>3.8339421527097101E-2</c:v>
                </c:pt>
                <c:pt idx="20">
                  <c:v>1.4760495047099103E-2</c:v>
                </c:pt>
              </c:numCache>
            </c:numRef>
          </c:val>
        </c:ser>
        <c:dLbls>
          <c:showLegendKey val="0"/>
          <c:showVal val="0"/>
          <c:showCatName val="0"/>
          <c:showSerName val="0"/>
          <c:showPercent val="0"/>
          <c:showBubbleSize val="0"/>
        </c:dLbls>
        <c:gapWidth val="51"/>
        <c:overlap val="-30"/>
        <c:axId val="59503360"/>
        <c:axId val="59504896"/>
      </c:barChart>
      <c:catAx>
        <c:axId val="59503360"/>
        <c:scaling>
          <c:orientation val="maxMin"/>
        </c:scaling>
        <c:delete val="0"/>
        <c:axPos val="l"/>
        <c:numFmt formatCode="General" sourceLinked="1"/>
        <c:majorTickMark val="out"/>
        <c:minorTickMark val="none"/>
        <c:tickLblPos val="nextTo"/>
        <c:spPr>
          <a:ln>
            <a:noFill/>
          </a:ln>
        </c:spPr>
        <c:txPr>
          <a:bodyPr rot="0" vert="horz"/>
          <a:lstStyle/>
          <a:p>
            <a:pPr>
              <a:defRPr sz="1000" b="0" i="0" u="none" strike="noStrike" baseline="0">
                <a:solidFill>
                  <a:srgbClr val="000000"/>
                </a:solidFill>
                <a:latin typeface="Calibri"/>
                <a:ea typeface="Calibri"/>
                <a:cs typeface="Calibri"/>
              </a:defRPr>
            </a:pPr>
            <a:endParaRPr lang="en-US"/>
          </a:p>
        </c:txPr>
        <c:crossAx val="59504896"/>
        <c:crosses val="autoZero"/>
        <c:auto val="1"/>
        <c:lblAlgn val="ctr"/>
        <c:lblOffset val="100"/>
        <c:noMultiLvlLbl val="0"/>
      </c:catAx>
      <c:valAx>
        <c:axId val="59504896"/>
        <c:scaling>
          <c:orientation val="minMax"/>
        </c:scaling>
        <c:delete val="0"/>
        <c:axPos val="t"/>
        <c:numFmt formatCode="###0%" sourceLinked="1"/>
        <c:majorTickMark val="none"/>
        <c:minorTickMark val="none"/>
        <c:tickLblPos val="none"/>
        <c:spPr>
          <a:ln>
            <a:noFill/>
          </a:ln>
        </c:spPr>
        <c:crossAx val="59503360"/>
        <c:crosses val="autoZero"/>
        <c:crossBetween val="between"/>
      </c:valAx>
      <c:spPr>
        <a:noFill/>
        <a:ln w="25400">
          <a:noFill/>
        </a:ln>
      </c:spPr>
    </c:plotArea>
    <c:legend>
      <c:legendPos val="r"/>
      <c:layout>
        <c:manualLayout>
          <c:xMode val="edge"/>
          <c:yMode val="edge"/>
          <c:x val="0.80763664787803169"/>
          <c:y val="0.56862844335693163"/>
          <c:w val="0.10805845990562656"/>
          <c:h val="0.1119239824868456"/>
        </c:manualLayout>
      </c:layout>
      <c:overlay val="1"/>
      <c:spPr>
        <a:ln>
          <a:noFill/>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65507436570428"/>
          <c:y val="5.0925925925925923E-2"/>
          <c:w val="0.8567893700787409"/>
          <c:h val="0.53294473607465764"/>
        </c:manualLayout>
      </c:layout>
      <c:barChart>
        <c:barDir val="bar"/>
        <c:grouping val="percentStacked"/>
        <c:varyColors val="0"/>
        <c:ser>
          <c:idx val="0"/>
          <c:order val="0"/>
          <c:tx>
            <c:strRef>
              <c:f>Budget!$G$53</c:f>
              <c:strCache>
                <c:ptCount val="1"/>
                <c:pt idx="0">
                  <c:v>Strongly agree</c:v>
                </c:pt>
              </c:strCache>
            </c:strRef>
          </c:tx>
          <c:spPr>
            <a:solidFill>
              <a:srgbClr val="5E752F"/>
            </a:solidFill>
            <a:ln w="12700">
              <a:solidFill>
                <a:sysClr val="windowText" lastClr="000000"/>
              </a:solidFill>
              <a:prstDash val="solid"/>
            </a:ln>
          </c:spPr>
          <c:invertIfNegative val="0"/>
          <c:dLbls>
            <c:showLegendKey val="0"/>
            <c:showVal val="1"/>
            <c:showCatName val="0"/>
            <c:showSerName val="0"/>
            <c:showPercent val="0"/>
            <c:showBubbleSize val="0"/>
            <c:showLeaderLines val="0"/>
          </c:dLbls>
          <c:cat>
            <c:numRef>
              <c:f>Budget!$H$52:$I$52</c:f>
              <c:numCache>
                <c:formatCode>General</c:formatCode>
                <c:ptCount val="2"/>
                <c:pt idx="0">
                  <c:v>2012</c:v>
                </c:pt>
                <c:pt idx="1">
                  <c:v>2013</c:v>
                </c:pt>
              </c:numCache>
            </c:numRef>
          </c:cat>
          <c:val>
            <c:numRef>
              <c:f>Budget!$H$53:$I$53</c:f>
              <c:numCache>
                <c:formatCode>###0%</c:formatCode>
                <c:ptCount val="2"/>
                <c:pt idx="0">
                  <c:v>0.35977939707475204</c:v>
                </c:pt>
                <c:pt idx="1">
                  <c:v>0.33835048995056316</c:v>
                </c:pt>
              </c:numCache>
            </c:numRef>
          </c:val>
        </c:ser>
        <c:ser>
          <c:idx val="1"/>
          <c:order val="1"/>
          <c:tx>
            <c:strRef>
              <c:f>Budget!$G$54</c:f>
              <c:strCache>
                <c:ptCount val="1"/>
                <c:pt idx="0">
                  <c:v>Tend to agree</c:v>
                </c:pt>
              </c:strCache>
            </c:strRef>
          </c:tx>
          <c:spPr>
            <a:solidFill>
              <a:srgbClr val="B0CA7C"/>
            </a:solidFill>
            <a:ln w="12700">
              <a:solidFill>
                <a:srgbClr val="000000"/>
              </a:solidFill>
              <a:prstDash val="solid"/>
            </a:ln>
          </c:spPr>
          <c:invertIfNegative val="0"/>
          <c:dLbls>
            <c:showLegendKey val="0"/>
            <c:showVal val="1"/>
            <c:showCatName val="0"/>
            <c:showSerName val="0"/>
            <c:showPercent val="0"/>
            <c:showBubbleSize val="0"/>
            <c:showLeaderLines val="0"/>
          </c:dLbls>
          <c:cat>
            <c:numRef>
              <c:f>Budget!$H$52:$I$52</c:f>
              <c:numCache>
                <c:formatCode>General</c:formatCode>
                <c:ptCount val="2"/>
                <c:pt idx="0">
                  <c:v>2012</c:v>
                </c:pt>
                <c:pt idx="1">
                  <c:v>2013</c:v>
                </c:pt>
              </c:numCache>
            </c:numRef>
          </c:cat>
          <c:val>
            <c:numRef>
              <c:f>Budget!$H$54:$I$54</c:f>
              <c:numCache>
                <c:formatCode>###0%</c:formatCode>
                <c:ptCount val="2"/>
                <c:pt idx="0">
                  <c:v>0.46032827565902251</c:v>
                </c:pt>
                <c:pt idx="1">
                  <c:v>0.47761194029850912</c:v>
                </c:pt>
              </c:numCache>
            </c:numRef>
          </c:val>
        </c:ser>
        <c:ser>
          <c:idx val="2"/>
          <c:order val="2"/>
          <c:tx>
            <c:strRef>
              <c:f>Budget!$G$55</c:f>
              <c:strCache>
                <c:ptCount val="1"/>
                <c:pt idx="0">
                  <c:v>Neither agree nor disagree</c:v>
                </c:pt>
              </c:strCache>
            </c:strRef>
          </c:tx>
          <c:spPr>
            <a:solidFill>
              <a:srgbClr val="FFFFAF"/>
            </a:solidFill>
            <a:ln>
              <a:solidFill>
                <a:sysClr val="windowText" lastClr="000000"/>
              </a:solidFill>
            </a:ln>
          </c:spPr>
          <c:invertIfNegative val="0"/>
          <c:dLbls>
            <c:showLegendKey val="0"/>
            <c:showVal val="1"/>
            <c:showCatName val="0"/>
            <c:showSerName val="0"/>
            <c:showPercent val="0"/>
            <c:showBubbleSize val="0"/>
            <c:showLeaderLines val="0"/>
          </c:dLbls>
          <c:cat>
            <c:numRef>
              <c:f>Budget!$H$52:$I$52</c:f>
              <c:numCache>
                <c:formatCode>General</c:formatCode>
                <c:ptCount val="2"/>
                <c:pt idx="0">
                  <c:v>2012</c:v>
                </c:pt>
                <c:pt idx="1">
                  <c:v>2013</c:v>
                </c:pt>
              </c:numCache>
            </c:numRef>
          </c:cat>
          <c:val>
            <c:numRef>
              <c:f>Budget!$H$55:$I$55</c:f>
              <c:numCache>
                <c:formatCode>###0%</c:formatCode>
                <c:ptCount val="2"/>
                <c:pt idx="0">
                  <c:v>7.4256332607804482E-2</c:v>
                </c:pt>
                <c:pt idx="1">
                  <c:v>9.6673757151864076E-2</c:v>
                </c:pt>
              </c:numCache>
            </c:numRef>
          </c:val>
        </c:ser>
        <c:ser>
          <c:idx val="3"/>
          <c:order val="3"/>
          <c:tx>
            <c:strRef>
              <c:f>Budget!$G$56</c:f>
              <c:strCache>
                <c:ptCount val="1"/>
                <c:pt idx="0">
                  <c:v>Tend to disagree</c:v>
                </c:pt>
              </c:strCache>
            </c:strRef>
          </c:tx>
          <c:spPr>
            <a:solidFill>
              <a:srgbClr val="FAC090"/>
            </a:solidFill>
            <a:ln>
              <a:solidFill>
                <a:sysClr val="windowText" lastClr="000000"/>
              </a:solidFill>
            </a:ln>
          </c:spPr>
          <c:invertIfNegative val="0"/>
          <c:dLbls>
            <c:showLegendKey val="0"/>
            <c:showVal val="1"/>
            <c:showCatName val="0"/>
            <c:showSerName val="0"/>
            <c:showPercent val="0"/>
            <c:showBubbleSize val="0"/>
            <c:showLeaderLines val="0"/>
          </c:dLbls>
          <c:cat>
            <c:numRef>
              <c:f>Budget!$H$52:$I$52</c:f>
              <c:numCache>
                <c:formatCode>General</c:formatCode>
                <c:ptCount val="2"/>
                <c:pt idx="0">
                  <c:v>2012</c:v>
                </c:pt>
                <c:pt idx="1">
                  <c:v>2013</c:v>
                </c:pt>
              </c:numCache>
            </c:numRef>
          </c:cat>
          <c:val>
            <c:numRef>
              <c:f>Budget!$H$56:$I$56</c:f>
              <c:numCache>
                <c:formatCode>###0%</c:formatCode>
                <c:ptCount val="2"/>
                <c:pt idx="0">
                  <c:v>5.228751984690299E-2</c:v>
                </c:pt>
                <c:pt idx="1">
                  <c:v>4.8427031836474996E-2</c:v>
                </c:pt>
              </c:numCache>
            </c:numRef>
          </c:val>
        </c:ser>
        <c:ser>
          <c:idx val="4"/>
          <c:order val="4"/>
          <c:tx>
            <c:strRef>
              <c:f>Budget!$G$57</c:f>
              <c:strCache>
                <c:ptCount val="1"/>
                <c:pt idx="0">
                  <c:v>Strongly disagree</c:v>
                </c:pt>
              </c:strCache>
            </c:strRef>
          </c:tx>
          <c:spPr>
            <a:solidFill>
              <a:srgbClr val="F6862A"/>
            </a:solidFill>
            <a:ln>
              <a:solidFill>
                <a:sysClr val="windowText" lastClr="000000"/>
              </a:solidFill>
            </a:ln>
          </c:spPr>
          <c:invertIfNegative val="0"/>
          <c:cat>
            <c:numRef>
              <c:f>Budget!$H$52:$I$52</c:f>
              <c:numCache>
                <c:formatCode>General</c:formatCode>
                <c:ptCount val="2"/>
                <c:pt idx="0">
                  <c:v>2012</c:v>
                </c:pt>
                <c:pt idx="1">
                  <c:v>2013</c:v>
                </c:pt>
              </c:numCache>
            </c:numRef>
          </c:cat>
          <c:val>
            <c:numRef>
              <c:f>Budget!$H$57:$I$57</c:f>
              <c:numCache>
                <c:formatCode>###0%</c:formatCode>
                <c:ptCount val="2"/>
                <c:pt idx="0">
                  <c:v>3.1048442215282471E-2</c:v>
                </c:pt>
                <c:pt idx="1">
                  <c:v>2.6193941465196754E-2</c:v>
                </c:pt>
              </c:numCache>
            </c:numRef>
          </c:val>
        </c:ser>
        <c:ser>
          <c:idx val="5"/>
          <c:order val="5"/>
          <c:tx>
            <c:strRef>
              <c:f>Budget!$G$58</c:f>
              <c:strCache>
                <c:ptCount val="1"/>
                <c:pt idx="0">
                  <c:v>Don't know</c:v>
                </c:pt>
              </c:strCache>
            </c:strRef>
          </c:tx>
          <c:spPr>
            <a:solidFill>
              <a:srgbClr val="C0C0C0"/>
            </a:solidFill>
            <a:ln>
              <a:solidFill>
                <a:sysClr val="windowText" lastClr="000000"/>
              </a:solidFill>
            </a:ln>
          </c:spPr>
          <c:invertIfNegative val="0"/>
          <c:cat>
            <c:numRef>
              <c:f>Budget!$H$52:$I$52</c:f>
              <c:numCache>
                <c:formatCode>General</c:formatCode>
                <c:ptCount val="2"/>
                <c:pt idx="0">
                  <c:v>2012</c:v>
                </c:pt>
                <c:pt idx="1">
                  <c:v>2013</c:v>
                </c:pt>
              </c:numCache>
            </c:numRef>
          </c:cat>
          <c:val>
            <c:numRef>
              <c:f>Budget!$H$58:$I$58</c:f>
              <c:numCache>
                <c:formatCode>###0%</c:formatCode>
                <c:ptCount val="2"/>
                <c:pt idx="0">
                  <c:v>2.2300032596237831E-2</c:v>
                </c:pt>
                <c:pt idx="1">
                  <c:v>1.2742839297393822E-2</c:v>
                </c:pt>
              </c:numCache>
            </c:numRef>
          </c:val>
        </c:ser>
        <c:dLbls>
          <c:showLegendKey val="0"/>
          <c:showVal val="0"/>
          <c:showCatName val="0"/>
          <c:showSerName val="0"/>
          <c:showPercent val="0"/>
          <c:showBubbleSize val="0"/>
        </c:dLbls>
        <c:gapWidth val="75"/>
        <c:overlap val="100"/>
        <c:axId val="59607296"/>
        <c:axId val="59625472"/>
      </c:barChart>
      <c:catAx>
        <c:axId val="59607296"/>
        <c:scaling>
          <c:orientation val="minMax"/>
        </c:scaling>
        <c:delete val="0"/>
        <c:axPos val="l"/>
        <c:numFmt formatCode="General" sourceLinked="1"/>
        <c:majorTickMark val="none"/>
        <c:minorTickMark val="none"/>
        <c:tickLblPos val="nextTo"/>
        <c:spPr>
          <a:ln>
            <a:noFill/>
          </a:ln>
        </c:spPr>
        <c:txPr>
          <a:bodyPr rot="0" vert="horz"/>
          <a:lstStyle/>
          <a:p>
            <a:pPr>
              <a:defRPr sz="1000" b="0" i="0" u="none" strike="noStrike" baseline="0">
                <a:solidFill>
                  <a:srgbClr val="000000"/>
                </a:solidFill>
                <a:latin typeface="Calibri"/>
                <a:ea typeface="Calibri"/>
                <a:cs typeface="Calibri"/>
              </a:defRPr>
            </a:pPr>
            <a:endParaRPr lang="en-US"/>
          </a:p>
        </c:txPr>
        <c:crossAx val="59625472"/>
        <c:crosses val="autoZero"/>
        <c:auto val="1"/>
        <c:lblAlgn val="ctr"/>
        <c:lblOffset val="100"/>
        <c:noMultiLvlLbl val="0"/>
      </c:catAx>
      <c:valAx>
        <c:axId val="59625472"/>
        <c:scaling>
          <c:orientation val="minMax"/>
        </c:scaling>
        <c:delete val="0"/>
        <c:axPos val="b"/>
        <c:numFmt formatCode="0%" sourceLinked="1"/>
        <c:majorTickMark val="none"/>
        <c:minorTickMark val="none"/>
        <c:tickLblPos val="none"/>
        <c:spPr>
          <a:ln w="9525">
            <a:noFill/>
          </a:ln>
        </c:spPr>
        <c:crossAx val="59607296"/>
        <c:crosses val="autoZero"/>
        <c:crossBetween val="between"/>
      </c:valAx>
      <c:spPr>
        <a:ln w="63500" cap="rnd">
          <a:noFill/>
          <a:round/>
        </a:ln>
      </c:spPr>
    </c:plotArea>
    <c:legend>
      <c:legendPos val="b"/>
      <c:layout>
        <c:manualLayout>
          <c:xMode val="edge"/>
          <c:yMode val="edge"/>
          <c:x val="0.15507611548556441"/>
          <c:y val="0.57461140274132405"/>
          <c:w val="0.57873643919510065"/>
          <c:h val="0.39761081948089888"/>
        </c:manualLayout>
      </c:layout>
      <c:overlay val="0"/>
      <c:spPr>
        <a:ln cap="sq">
          <a:noFill/>
        </a:ln>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DF9E-18C8-4442-883B-F998958F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0</TotalTime>
  <Pages>16</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15543</CharactersWithSpaces>
  <SharedDoc>false</SharedDoc>
  <HLinks>
    <vt:vector size="132" baseType="variant">
      <vt:variant>
        <vt:i4>1572923</vt:i4>
      </vt:variant>
      <vt:variant>
        <vt:i4>128</vt:i4>
      </vt:variant>
      <vt:variant>
        <vt:i4>0</vt:i4>
      </vt:variant>
      <vt:variant>
        <vt:i4>5</vt:i4>
      </vt:variant>
      <vt:variant>
        <vt:lpwstr/>
      </vt:variant>
      <vt:variant>
        <vt:lpwstr>_Toc358123281</vt:lpwstr>
      </vt:variant>
      <vt:variant>
        <vt:i4>1572923</vt:i4>
      </vt:variant>
      <vt:variant>
        <vt:i4>122</vt:i4>
      </vt:variant>
      <vt:variant>
        <vt:i4>0</vt:i4>
      </vt:variant>
      <vt:variant>
        <vt:i4>5</vt:i4>
      </vt:variant>
      <vt:variant>
        <vt:lpwstr/>
      </vt:variant>
      <vt:variant>
        <vt:lpwstr>_Toc358123280</vt:lpwstr>
      </vt:variant>
      <vt:variant>
        <vt:i4>1507387</vt:i4>
      </vt:variant>
      <vt:variant>
        <vt:i4>116</vt:i4>
      </vt:variant>
      <vt:variant>
        <vt:i4>0</vt:i4>
      </vt:variant>
      <vt:variant>
        <vt:i4>5</vt:i4>
      </vt:variant>
      <vt:variant>
        <vt:lpwstr/>
      </vt:variant>
      <vt:variant>
        <vt:lpwstr>_Toc358123279</vt:lpwstr>
      </vt:variant>
      <vt:variant>
        <vt:i4>1507387</vt:i4>
      </vt:variant>
      <vt:variant>
        <vt:i4>110</vt:i4>
      </vt:variant>
      <vt:variant>
        <vt:i4>0</vt:i4>
      </vt:variant>
      <vt:variant>
        <vt:i4>5</vt:i4>
      </vt:variant>
      <vt:variant>
        <vt:lpwstr/>
      </vt:variant>
      <vt:variant>
        <vt:lpwstr>_Toc358123278</vt:lpwstr>
      </vt:variant>
      <vt:variant>
        <vt:i4>1507387</vt:i4>
      </vt:variant>
      <vt:variant>
        <vt:i4>104</vt:i4>
      </vt:variant>
      <vt:variant>
        <vt:i4>0</vt:i4>
      </vt:variant>
      <vt:variant>
        <vt:i4>5</vt:i4>
      </vt:variant>
      <vt:variant>
        <vt:lpwstr/>
      </vt:variant>
      <vt:variant>
        <vt:lpwstr>_Toc358123277</vt:lpwstr>
      </vt:variant>
      <vt:variant>
        <vt:i4>1507387</vt:i4>
      </vt:variant>
      <vt:variant>
        <vt:i4>98</vt:i4>
      </vt:variant>
      <vt:variant>
        <vt:i4>0</vt:i4>
      </vt:variant>
      <vt:variant>
        <vt:i4>5</vt:i4>
      </vt:variant>
      <vt:variant>
        <vt:lpwstr/>
      </vt:variant>
      <vt:variant>
        <vt:lpwstr>_Toc358123276</vt:lpwstr>
      </vt:variant>
      <vt:variant>
        <vt:i4>1507387</vt:i4>
      </vt:variant>
      <vt:variant>
        <vt:i4>92</vt:i4>
      </vt:variant>
      <vt:variant>
        <vt:i4>0</vt:i4>
      </vt:variant>
      <vt:variant>
        <vt:i4>5</vt:i4>
      </vt:variant>
      <vt:variant>
        <vt:lpwstr/>
      </vt:variant>
      <vt:variant>
        <vt:lpwstr>_Toc358123275</vt:lpwstr>
      </vt:variant>
      <vt:variant>
        <vt:i4>1507387</vt:i4>
      </vt:variant>
      <vt:variant>
        <vt:i4>86</vt:i4>
      </vt:variant>
      <vt:variant>
        <vt:i4>0</vt:i4>
      </vt:variant>
      <vt:variant>
        <vt:i4>5</vt:i4>
      </vt:variant>
      <vt:variant>
        <vt:lpwstr/>
      </vt:variant>
      <vt:variant>
        <vt:lpwstr>_Toc358123270</vt:lpwstr>
      </vt:variant>
      <vt:variant>
        <vt:i4>1441851</vt:i4>
      </vt:variant>
      <vt:variant>
        <vt:i4>80</vt:i4>
      </vt:variant>
      <vt:variant>
        <vt:i4>0</vt:i4>
      </vt:variant>
      <vt:variant>
        <vt:i4>5</vt:i4>
      </vt:variant>
      <vt:variant>
        <vt:lpwstr/>
      </vt:variant>
      <vt:variant>
        <vt:lpwstr>_Toc358123269</vt:lpwstr>
      </vt:variant>
      <vt:variant>
        <vt:i4>1441851</vt:i4>
      </vt:variant>
      <vt:variant>
        <vt:i4>74</vt:i4>
      </vt:variant>
      <vt:variant>
        <vt:i4>0</vt:i4>
      </vt:variant>
      <vt:variant>
        <vt:i4>5</vt:i4>
      </vt:variant>
      <vt:variant>
        <vt:lpwstr/>
      </vt:variant>
      <vt:variant>
        <vt:lpwstr>_Toc358123268</vt:lpwstr>
      </vt:variant>
      <vt:variant>
        <vt:i4>1441851</vt:i4>
      </vt:variant>
      <vt:variant>
        <vt:i4>68</vt:i4>
      </vt:variant>
      <vt:variant>
        <vt:i4>0</vt:i4>
      </vt:variant>
      <vt:variant>
        <vt:i4>5</vt:i4>
      </vt:variant>
      <vt:variant>
        <vt:lpwstr/>
      </vt:variant>
      <vt:variant>
        <vt:lpwstr>_Toc358123267</vt:lpwstr>
      </vt:variant>
      <vt:variant>
        <vt:i4>1441851</vt:i4>
      </vt:variant>
      <vt:variant>
        <vt:i4>62</vt:i4>
      </vt:variant>
      <vt:variant>
        <vt:i4>0</vt:i4>
      </vt:variant>
      <vt:variant>
        <vt:i4>5</vt:i4>
      </vt:variant>
      <vt:variant>
        <vt:lpwstr/>
      </vt:variant>
      <vt:variant>
        <vt:lpwstr>_Toc358123266</vt:lpwstr>
      </vt:variant>
      <vt:variant>
        <vt:i4>1441851</vt:i4>
      </vt:variant>
      <vt:variant>
        <vt:i4>56</vt:i4>
      </vt:variant>
      <vt:variant>
        <vt:i4>0</vt:i4>
      </vt:variant>
      <vt:variant>
        <vt:i4>5</vt:i4>
      </vt:variant>
      <vt:variant>
        <vt:lpwstr/>
      </vt:variant>
      <vt:variant>
        <vt:lpwstr>_Toc358123265</vt:lpwstr>
      </vt:variant>
      <vt:variant>
        <vt:i4>1441851</vt:i4>
      </vt:variant>
      <vt:variant>
        <vt:i4>50</vt:i4>
      </vt:variant>
      <vt:variant>
        <vt:i4>0</vt:i4>
      </vt:variant>
      <vt:variant>
        <vt:i4>5</vt:i4>
      </vt:variant>
      <vt:variant>
        <vt:lpwstr/>
      </vt:variant>
      <vt:variant>
        <vt:lpwstr>_Toc358123264</vt:lpwstr>
      </vt:variant>
      <vt:variant>
        <vt:i4>1441851</vt:i4>
      </vt:variant>
      <vt:variant>
        <vt:i4>44</vt:i4>
      </vt:variant>
      <vt:variant>
        <vt:i4>0</vt:i4>
      </vt:variant>
      <vt:variant>
        <vt:i4>5</vt:i4>
      </vt:variant>
      <vt:variant>
        <vt:lpwstr/>
      </vt:variant>
      <vt:variant>
        <vt:lpwstr>_Toc358123263</vt:lpwstr>
      </vt:variant>
      <vt:variant>
        <vt:i4>1441851</vt:i4>
      </vt:variant>
      <vt:variant>
        <vt:i4>38</vt:i4>
      </vt:variant>
      <vt:variant>
        <vt:i4>0</vt:i4>
      </vt:variant>
      <vt:variant>
        <vt:i4>5</vt:i4>
      </vt:variant>
      <vt:variant>
        <vt:lpwstr/>
      </vt:variant>
      <vt:variant>
        <vt:lpwstr>_Toc358123262</vt:lpwstr>
      </vt:variant>
      <vt:variant>
        <vt:i4>1441851</vt:i4>
      </vt:variant>
      <vt:variant>
        <vt:i4>32</vt:i4>
      </vt:variant>
      <vt:variant>
        <vt:i4>0</vt:i4>
      </vt:variant>
      <vt:variant>
        <vt:i4>5</vt:i4>
      </vt:variant>
      <vt:variant>
        <vt:lpwstr/>
      </vt:variant>
      <vt:variant>
        <vt:lpwstr>_Toc358123261</vt:lpwstr>
      </vt:variant>
      <vt:variant>
        <vt:i4>1376315</vt:i4>
      </vt:variant>
      <vt:variant>
        <vt:i4>26</vt:i4>
      </vt:variant>
      <vt:variant>
        <vt:i4>0</vt:i4>
      </vt:variant>
      <vt:variant>
        <vt:i4>5</vt:i4>
      </vt:variant>
      <vt:variant>
        <vt:lpwstr/>
      </vt:variant>
      <vt:variant>
        <vt:lpwstr>_Toc358123259</vt:lpwstr>
      </vt:variant>
      <vt:variant>
        <vt:i4>1376315</vt:i4>
      </vt:variant>
      <vt:variant>
        <vt:i4>20</vt:i4>
      </vt:variant>
      <vt:variant>
        <vt:i4>0</vt:i4>
      </vt:variant>
      <vt:variant>
        <vt:i4>5</vt:i4>
      </vt:variant>
      <vt:variant>
        <vt:lpwstr/>
      </vt:variant>
      <vt:variant>
        <vt:lpwstr>_Toc358123258</vt:lpwstr>
      </vt:variant>
      <vt:variant>
        <vt:i4>1376315</vt:i4>
      </vt:variant>
      <vt:variant>
        <vt:i4>14</vt:i4>
      </vt:variant>
      <vt:variant>
        <vt:i4>0</vt:i4>
      </vt:variant>
      <vt:variant>
        <vt:i4>5</vt:i4>
      </vt:variant>
      <vt:variant>
        <vt:lpwstr/>
      </vt:variant>
      <vt:variant>
        <vt:lpwstr>_Toc358123257</vt:lpwstr>
      </vt:variant>
      <vt:variant>
        <vt:i4>1376315</vt:i4>
      </vt:variant>
      <vt:variant>
        <vt:i4>8</vt:i4>
      </vt:variant>
      <vt:variant>
        <vt:i4>0</vt:i4>
      </vt:variant>
      <vt:variant>
        <vt:i4>5</vt:i4>
      </vt:variant>
      <vt:variant>
        <vt:lpwstr/>
      </vt:variant>
      <vt:variant>
        <vt:lpwstr>_Toc358123256</vt:lpwstr>
      </vt:variant>
      <vt:variant>
        <vt:i4>1376315</vt:i4>
      </vt:variant>
      <vt:variant>
        <vt:i4>2</vt:i4>
      </vt:variant>
      <vt:variant>
        <vt:i4>0</vt:i4>
      </vt:variant>
      <vt:variant>
        <vt:i4>5</vt:i4>
      </vt:variant>
      <vt:variant>
        <vt:lpwstr/>
      </vt:variant>
      <vt:variant>
        <vt:lpwstr>_Toc358123255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medwardson001</dc:creator>
  <cp:lastModifiedBy>Gorman, Dave</cp:lastModifiedBy>
  <cp:revision>3</cp:revision>
  <cp:lastPrinted>2013-11-04T11:05:00Z</cp:lastPrinted>
  <dcterms:created xsi:type="dcterms:W3CDTF">2014-01-27T11:00:00Z</dcterms:created>
  <dcterms:modified xsi:type="dcterms:W3CDTF">2014-01-27T11:21:00Z</dcterms:modified>
</cp:coreProperties>
</file>